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6AE74" w14:textId="77777777" w:rsidR="00553AE7" w:rsidRDefault="00553AE7" w:rsidP="00805A70">
      <w:pPr>
        <w:pStyle w:val="Titre"/>
        <w:spacing w:after="0"/>
        <w:rPr>
          <w:lang w:val="en-US"/>
        </w:rPr>
      </w:pPr>
      <w:r>
        <w:rPr>
          <w:noProof/>
          <w:lang w:eastAsia="fr-BE"/>
        </w:rPr>
        <w:drawing>
          <wp:inline distT="0" distB="0" distL="0" distR="0" wp14:anchorId="57821493" wp14:editId="345C24FB">
            <wp:extent cx="488720" cy="7689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_en_verti_blue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8437" cy="768523"/>
                    </a:xfrm>
                    <a:prstGeom prst="rect">
                      <a:avLst/>
                    </a:prstGeom>
                  </pic:spPr>
                </pic:pic>
              </a:graphicData>
            </a:graphic>
          </wp:inline>
        </w:drawing>
      </w:r>
    </w:p>
    <w:p w14:paraId="261F55BC" w14:textId="77777777" w:rsidR="00553AE7" w:rsidRPr="00553AE7" w:rsidRDefault="00553AE7" w:rsidP="00285E4A">
      <w:pPr>
        <w:pStyle w:val="Titre"/>
        <w:spacing w:after="0"/>
        <w:rPr>
          <w:sz w:val="16"/>
          <w:szCs w:val="16"/>
          <w:lang w:val="en-US"/>
        </w:rPr>
      </w:pPr>
    </w:p>
    <w:p w14:paraId="1B28CC9D" w14:textId="01F34C76" w:rsidR="00B527D4" w:rsidRDefault="00376CD6" w:rsidP="00285E4A">
      <w:pPr>
        <w:pStyle w:val="Titre"/>
        <w:spacing w:after="0"/>
        <w:jc w:val="center"/>
        <w:rPr>
          <w:lang w:val="en-US"/>
        </w:rPr>
      </w:pPr>
      <w:r>
        <w:rPr>
          <w:lang w:val="en-US"/>
        </w:rPr>
        <w:t xml:space="preserve">Terms of reference for a </w:t>
      </w:r>
      <w:r w:rsidR="0034247F" w:rsidRPr="0034247F">
        <w:rPr>
          <w:lang w:val="en-US"/>
        </w:rPr>
        <w:t>Consultancy for the production</w:t>
      </w:r>
      <w:r>
        <w:rPr>
          <w:lang w:val="en-US"/>
        </w:rPr>
        <w:t xml:space="preserve"> of an advocacy report</w:t>
      </w:r>
    </w:p>
    <w:p w14:paraId="666CBA44" w14:textId="77777777" w:rsidR="00B67786" w:rsidRDefault="00B67786" w:rsidP="00285E4A">
      <w:pPr>
        <w:pStyle w:val="Titre2"/>
        <w:spacing w:before="0" w:line="240" w:lineRule="auto"/>
        <w:ind w:left="720"/>
        <w:rPr>
          <w:lang w:val="en-US"/>
        </w:rPr>
      </w:pPr>
    </w:p>
    <w:p w14:paraId="419714A9" w14:textId="096AEF58" w:rsidR="00A305E3" w:rsidRPr="00317267" w:rsidRDefault="00A305E3" w:rsidP="00805A70">
      <w:pPr>
        <w:pStyle w:val="Titre2"/>
        <w:numPr>
          <w:ilvl w:val="0"/>
          <w:numId w:val="19"/>
        </w:numPr>
        <w:spacing w:before="0" w:line="240" w:lineRule="auto"/>
        <w:rPr>
          <w:lang w:val="en-US"/>
        </w:rPr>
      </w:pPr>
      <w:r w:rsidRPr="00317267">
        <w:rPr>
          <w:lang w:val="en-US"/>
        </w:rPr>
        <w:t xml:space="preserve">Presentation of the </w:t>
      </w:r>
      <w:r>
        <w:rPr>
          <w:lang w:val="en-US"/>
        </w:rPr>
        <w:t>service</w:t>
      </w:r>
    </w:p>
    <w:p w14:paraId="5C007820" w14:textId="77777777" w:rsidR="00A305E3" w:rsidRPr="00402471" w:rsidRDefault="00A305E3" w:rsidP="00805A70">
      <w:pPr>
        <w:spacing w:after="0" w:line="240" w:lineRule="auto"/>
        <w:rPr>
          <w:b/>
          <w:lang w:val="en-US"/>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6521"/>
      </w:tblGrid>
      <w:tr w:rsidR="0034247F" w:rsidRPr="006D5E7F" w14:paraId="4E87246D" w14:textId="77777777" w:rsidTr="00291F2C">
        <w:trPr>
          <w:jc w:val="center"/>
        </w:trPr>
        <w:tc>
          <w:tcPr>
            <w:tcW w:w="2972" w:type="dxa"/>
            <w:shd w:val="clear" w:color="auto" w:fill="auto"/>
          </w:tcPr>
          <w:p w14:paraId="190D5093" w14:textId="77777777" w:rsidR="0034247F" w:rsidRPr="00A07DF7" w:rsidRDefault="0034247F" w:rsidP="00805A70">
            <w:pPr>
              <w:spacing w:after="0" w:line="240" w:lineRule="auto"/>
              <w:rPr>
                <w:rFonts w:cs="Arial"/>
                <w:b/>
                <w:bCs/>
                <w:lang w:val="en-US"/>
              </w:rPr>
            </w:pPr>
            <w:r w:rsidRPr="00A07DF7">
              <w:rPr>
                <w:rFonts w:cs="Arial"/>
                <w:b/>
                <w:bCs/>
                <w:lang w:val="en-US"/>
              </w:rPr>
              <w:t xml:space="preserve">Title of the </w:t>
            </w:r>
            <w:r>
              <w:rPr>
                <w:rFonts w:cs="Arial"/>
                <w:b/>
                <w:bCs/>
                <w:lang w:val="en-US"/>
              </w:rPr>
              <w:t>Report</w:t>
            </w:r>
            <w:r w:rsidRPr="00A07DF7">
              <w:rPr>
                <w:rFonts w:cs="Arial"/>
                <w:b/>
                <w:bCs/>
                <w:lang w:val="en-US"/>
              </w:rPr>
              <w:t>:</w:t>
            </w:r>
          </w:p>
        </w:tc>
        <w:tc>
          <w:tcPr>
            <w:tcW w:w="6521" w:type="dxa"/>
            <w:shd w:val="clear" w:color="auto" w:fill="F2F2F2" w:themeFill="background1" w:themeFillShade="F2"/>
          </w:tcPr>
          <w:p w14:paraId="3BDBC067" w14:textId="40EAF973" w:rsidR="00A75223" w:rsidRPr="00E85F9E" w:rsidRDefault="00E85F9E" w:rsidP="00805A70">
            <w:pPr>
              <w:spacing w:after="0" w:line="240" w:lineRule="auto"/>
              <w:rPr>
                <w:rFonts w:cs="Arial"/>
                <w:lang w:val="en-GB"/>
              </w:rPr>
            </w:pPr>
            <w:r>
              <w:rPr>
                <w:lang w:val="en-US"/>
              </w:rPr>
              <w:t>Always Included - Uninterrupted</w:t>
            </w:r>
            <w:r w:rsidRPr="004C289F">
              <w:rPr>
                <w:lang w:val="en-US"/>
              </w:rPr>
              <w:t xml:space="preserve"> education </w:t>
            </w:r>
            <w:r>
              <w:rPr>
                <w:lang w:val="en-US"/>
              </w:rPr>
              <w:t>for</w:t>
            </w:r>
            <w:r w:rsidRPr="004C289F">
              <w:rPr>
                <w:lang w:val="en-US"/>
              </w:rPr>
              <w:t xml:space="preserve"> children with disabilities </w:t>
            </w:r>
            <w:r>
              <w:rPr>
                <w:lang w:val="en-US"/>
              </w:rPr>
              <w:t>before, during, and after crisis</w:t>
            </w:r>
          </w:p>
        </w:tc>
      </w:tr>
      <w:tr w:rsidR="0034247F" w:rsidRPr="00332812" w14:paraId="637FE550" w14:textId="77777777" w:rsidTr="00291F2C">
        <w:trPr>
          <w:trHeight w:val="300"/>
          <w:jc w:val="center"/>
        </w:trPr>
        <w:tc>
          <w:tcPr>
            <w:tcW w:w="2972" w:type="dxa"/>
            <w:shd w:val="clear" w:color="auto" w:fill="auto"/>
            <w:vAlign w:val="center"/>
          </w:tcPr>
          <w:p w14:paraId="318D4AA2" w14:textId="1DFAD5F0" w:rsidR="0034247F" w:rsidRPr="00332812" w:rsidRDefault="0034247F" w:rsidP="00805A70">
            <w:pPr>
              <w:spacing w:after="0" w:line="240" w:lineRule="auto"/>
              <w:rPr>
                <w:rFonts w:cs="Arial"/>
                <w:b/>
                <w:bCs/>
              </w:rPr>
            </w:pPr>
            <w:r>
              <w:rPr>
                <w:rFonts w:cs="Arial"/>
                <w:b/>
                <w:bCs/>
              </w:rPr>
              <w:t>HI Entity:</w:t>
            </w:r>
          </w:p>
        </w:tc>
        <w:tc>
          <w:tcPr>
            <w:tcW w:w="6521" w:type="dxa"/>
            <w:shd w:val="clear" w:color="auto" w:fill="F2F2F2" w:themeFill="background1" w:themeFillShade="F2"/>
          </w:tcPr>
          <w:p w14:paraId="7DD74EA4" w14:textId="77A7F2A7" w:rsidR="0034247F" w:rsidRPr="000D1255" w:rsidRDefault="0034247F" w:rsidP="00805A70">
            <w:pPr>
              <w:spacing w:after="0" w:line="240" w:lineRule="auto"/>
              <w:rPr>
                <w:rFonts w:cs="Arial"/>
                <w:bCs/>
              </w:rPr>
            </w:pPr>
            <w:r>
              <w:t>Advocacy</w:t>
            </w:r>
            <w:r>
              <w:rPr>
                <w:spacing w:val="-11"/>
              </w:rPr>
              <w:t xml:space="preserve"> </w:t>
            </w:r>
            <w:r>
              <w:t>and</w:t>
            </w:r>
            <w:r>
              <w:rPr>
                <w:spacing w:val="-9"/>
              </w:rPr>
              <w:t xml:space="preserve"> </w:t>
            </w:r>
            <w:r>
              <w:t>Institutional</w:t>
            </w:r>
            <w:r>
              <w:rPr>
                <w:spacing w:val="-10"/>
              </w:rPr>
              <w:t xml:space="preserve"> </w:t>
            </w:r>
            <w:r>
              <w:rPr>
                <w:spacing w:val="-2"/>
              </w:rPr>
              <w:t>Relations</w:t>
            </w:r>
          </w:p>
        </w:tc>
      </w:tr>
      <w:tr w:rsidR="0034247F" w:rsidRPr="00332812" w14:paraId="6722BAB5" w14:textId="77777777" w:rsidTr="00291F2C">
        <w:trPr>
          <w:jc w:val="center"/>
        </w:trPr>
        <w:tc>
          <w:tcPr>
            <w:tcW w:w="2972" w:type="dxa"/>
            <w:shd w:val="clear" w:color="auto" w:fill="auto"/>
          </w:tcPr>
          <w:p w14:paraId="3C8D2041" w14:textId="77777777" w:rsidR="0034247F" w:rsidRPr="00332812" w:rsidRDefault="0034247F" w:rsidP="00805A70">
            <w:pPr>
              <w:spacing w:after="0" w:line="240" w:lineRule="auto"/>
              <w:rPr>
                <w:rFonts w:cs="Arial"/>
                <w:b/>
                <w:bCs/>
              </w:rPr>
            </w:pPr>
            <w:r>
              <w:rPr>
                <w:rFonts w:cs="Arial"/>
                <w:b/>
                <w:bCs/>
              </w:rPr>
              <w:t>Objective of the service:</w:t>
            </w:r>
          </w:p>
        </w:tc>
        <w:tc>
          <w:tcPr>
            <w:tcW w:w="6521" w:type="dxa"/>
            <w:shd w:val="clear" w:color="auto" w:fill="F2F2F2" w:themeFill="background1" w:themeFillShade="F2"/>
          </w:tcPr>
          <w:p w14:paraId="262909D4" w14:textId="3EF49335" w:rsidR="0034247F" w:rsidRPr="000D1255" w:rsidRDefault="00E85F9E" w:rsidP="00805A70">
            <w:pPr>
              <w:spacing w:after="0" w:line="240" w:lineRule="auto"/>
              <w:rPr>
                <w:rFonts w:cs="Arial"/>
                <w:bCs/>
              </w:rPr>
            </w:pPr>
            <w:r>
              <w:t>Report</w:t>
            </w:r>
            <w:r w:rsidR="0034247F">
              <w:rPr>
                <w:spacing w:val="-11"/>
              </w:rPr>
              <w:t xml:space="preserve"> </w:t>
            </w:r>
            <w:r w:rsidR="0034247F">
              <w:t>(</w:t>
            </w:r>
            <w:r w:rsidR="00C157AB">
              <w:t xml:space="preserve">25 </w:t>
            </w:r>
            <w:r>
              <w:t xml:space="preserve">to </w:t>
            </w:r>
            <w:r w:rsidR="00C157AB">
              <w:t xml:space="preserve">30 </w:t>
            </w:r>
            <w:r>
              <w:t>pages long</w:t>
            </w:r>
            <w:r w:rsidR="0034247F">
              <w:rPr>
                <w:spacing w:val="-2"/>
              </w:rPr>
              <w:t>)</w:t>
            </w:r>
          </w:p>
        </w:tc>
      </w:tr>
      <w:tr w:rsidR="0034247F" w:rsidRPr="006D5E7F" w14:paraId="6D8EDA73" w14:textId="77777777" w:rsidTr="00291F2C">
        <w:trPr>
          <w:jc w:val="center"/>
        </w:trPr>
        <w:tc>
          <w:tcPr>
            <w:tcW w:w="2972" w:type="dxa"/>
            <w:shd w:val="clear" w:color="auto" w:fill="auto"/>
          </w:tcPr>
          <w:p w14:paraId="3A61AD03" w14:textId="77777777" w:rsidR="0034247F" w:rsidRDefault="0034247F" w:rsidP="00805A70">
            <w:pPr>
              <w:spacing w:after="0" w:line="240" w:lineRule="auto"/>
              <w:rPr>
                <w:rFonts w:cs="Arial"/>
                <w:b/>
                <w:bCs/>
              </w:rPr>
            </w:pPr>
            <w:r>
              <w:rPr>
                <w:rFonts w:cs="Arial"/>
                <w:b/>
                <w:bCs/>
              </w:rPr>
              <w:t>Duration of the</w:t>
            </w:r>
            <w:r w:rsidRPr="00332812">
              <w:rPr>
                <w:rFonts w:cs="Arial"/>
                <w:b/>
                <w:bCs/>
              </w:rPr>
              <w:t xml:space="preserve"> </w:t>
            </w:r>
            <w:r>
              <w:rPr>
                <w:rFonts w:cs="Arial"/>
                <w:b/>
                <w:bCs/>
              </w:rPr>
              <w:t>service:</w:t>
            </w:r>
          </w:p>
        </w:tc>
        <w:tc>
          <w:tcPr>
            <w:tcW w:w="6521" w:type="dxa"/>
            <w:shd w:val="clear" w:color="auto" w:fill="F2F2F2" w:themeFill="background1" w:themeFillShade="F2"/>
          </w:tcPr>
          <w:p w14:paraId="5220F1BC" w14:textId="193EB7FF" w:rsidR="0034247F" w:rsidRPr="00C85D40" w:rsidRDefault="00376CD6" w:rsidP="00291F2C">
            <w:pPr>
              <w:pStyle w:val="TableParagraph"/>
              <w:spacing w:line="240" w:lineRule="auto"/>
              <w:ind w:left="0"/>
              <w:rPr>
                <w:rFonts w:cs="Arial"/>
              </w:rPr>
            </w:pPr>
            <w:r>
              <w:t>Between 20 to 23</w:t>
            </w:r>
            <w:r w:rsidR="0034247F">
              <w:rPr>
                <w:spacing w:val="51"/>
              </w:rPr>
              <w:t xml:space="preserve"> </w:t>
            </w:r>
            <w:r w:rsidR="0034247F">
              <w:t>working</w:t>
            </w:r>
            <w:r w:rsidR="0034247F">
              <w:rPr>
                <w:spacing w:val="51"/>
              </w:rPr>
              <w:t xml:space="preserve"> </w:t>
            </w:r>
            <w:r w:rsidR="0034247F">
              <w:t>days,</w:t>
            </w:r>
            <w:r w:rsidR="0034247F">
              <w:rPr>
                <w:spacing w:val="49"/>
              </w:rPr>
              <w:t xml:space="preserve"> </w:t>
            </w:r>
            <w:r w:rsidR="0034247F">
              <w:t>during</w:t>
            </w:r>
            <w:r w:rsidR="0034247F">
              <w:rPr>
                <w:spacing w:val="51"/>
              </w:rPr>
              <w:t xml:space="preserve"> </w:t>
            </w:r>
            <w:r w:rsidR="0034247F">
              <w:rPr>
                <w:spacing w:val="-5"/>
              </w:rPr>
              <w:t>the</w:t>
            </w:r>
            <w:r w:rsidR="00291F2C">
              <w:rPr>
                <w:spacing w:val="-5"/>
              </w:rPr>
              <w:t xml:space="preserve"> </w:t>
            </w:r>
            <w:r w:rsidR="0034247F">
              <w:t>period</w:t>
            </w:r>
            <w:r w:rsidR="0034247F">
              <w:rPr>
                <w:spacing w:val="-7"/>
              </w:rPr>
              <w:t xml:space="preserve"> </w:t>
            </w:r>
            <w:r>
              <w:t>15 June</w:t>
            </w:r>
            <w:r w:rsidR="0034247F">
              <w:rPr>
                <w:spacing w:val="-8"/>
              </w:rPr>
              <w:t xml:space="preserve"> </w:t>
            </w:r>
            <w:r w:rsidR="0034247F">
              <w:t>-</w:t>
            </w:r>
            <w:r w:rsidR="002F609E">
              <w:t>29</w:t>
            </w:r>
            <w:r w:rsidR="0034247F">
              <w:rPr>
                <w:spacing w:val="-7"/>
              </w:rPr>
              <w:t xml:space="preserve"> </w:t>
            </w:r>
            <w:r>
              <w:t>Octo</w:t>
            </w:r>
            <w:r w:rsidR="0034247F">
              <w:t>ber</w:t>
            </w:r>
            <w:r w:rsidR="0034247F">
              <w:rPr>
                <w:spacing w:val="-6"/>
              </w:rPr>
              <w:t xml:space="preserve"> </w:t>
            </w:r>
            <w:r>
              <w:rPr>
                <w:spacing w:val="-4"/>
              </w:rPr>
              <w:t>2023</w:t>
            </w:r>
          </w:p>
        </w:tc>
      </w:tr>
      <w:tr w:rsidR="0034247F" w:rsidRPr="006D5E7F" w14:paraId="27AC20BD" w14:textId="77777777" w:rsidTr="00291F2C">
        <w:trPr>
          <w:jc w:val="center"/>
        </w:trPr>
        <w:tc>
          <w:tcPr>
            <w:tcW w:w="2972" w:type="dxa"/>
            <w:shd w:val="clear" w:color="auto" w:fill="auto"/>
          </w:tcPr>
          <w:p w14:paraId="1C5F7001" w14:textId="77777777" w:rsidR="0034247F" w:rsidRPr="00332812" w:rsidRDefault="0034247F" w:rsidP="00805A70">
            <w:pPr>
              <w:spacing w:after="0" w:line="240" w:lineRule="auto"/>
              <w:rPr>
                <w:rFonts w:cs="Arial"/>
                <w:b/>
                <w:bCs/>
              </w:rPr>
            </w:pPr>
            <w:r>
              <w:rPr>
                <w:rFonts w:cs="Arial"/>
                <w:b/>
                <w:bCs/>
              </w:rPr>
              <w:t>Location of the service:</w:t>
            </w:r>
          </w:p>
        </w:tc>
        <w:tc>
          <w:tcPr>
            <w:tcW w:w="6521" w:type="dxa"/>
            <w:shd w:val="clear" w:color="auto" w:fill="F2F2F2" w:themeFill="background1" w:themeFillShade="F2"/>
          </w:tcPr>
          <w:p w14:paraId="4D0E174F" w14:textId="1E690EAD" w:rsidR="0034247F" w:rsidRDefault="00E85F9E" w:rsidP="00805A70">
            <w:pPr>
              <w:spacing w:after="0" w:line="240" w:lineRule="auto"/>
              <w:rPr>
                <w:spacing w:val="-2"/>
                <w:lang w:val="en-GB"/>
              </w:rPr>
            </w:pPr>
            <w:r w:rsidRPr="00E85F9E">
              <w:rPr>
                <w:lang w:val="en-GB"/>
              </w:rPr>
              <w:t>Consultant’s</w:t>
            </w:r>
            <w:r w:rsidRPr="00E85F9E">
              <w:rPr>
                <w:spacing w:val="-8"/>
                <w:lang w:val="en-GB"/>
              </w:rPr>
              <w:t xml:space="preserve"> </w:t>
            </w:r>
            <w:r w:rsidRPr="00E85F9E">
              <w:rPr>
                <w:lang w:val="en-GB"/>
              </w:rPr>
              <w:t>usual</w:t>
            </w:r>
            <w:r w:rsidRPr="00E85F9E">
              <w:rPr>
                <w:spacing w:val="-10"/>
                <w:lang w:val="en-GB"/>
              </w:rPr>
              <w:t xml:space="preserve"> </w:t>
            </w:r>
            <w:r w:rsidRPr="00E85F9E">
              <w:rPr>
                <w:lang w:val="en-GB"/>
              </w:rPr>
              <w:t>work</w:t>
            </w:r>
            <w:r w:rsidR="007722D6">
              <w:rPr>
                <w:lang w:val="en-GB"/>
              </w:rPr>
              <w:t>place</w:t>
            </w:r>
            <w:r w:rsidRPr="00E85F9E">
              <w:rPr>
                <w:spacing w:val="-8"/>
                <w:lang w:val="en-GB"/>
              </w:rPr>
              <w:t xml:space="preserve"> </w:t>
            </w:r>
            <w:r w:rsidRPr="00E85F9E">
              <w:rPr>
                <w:spacing w:val="-2"/>
                <w:lang w:val="en-GB"/>
              </w:rPr>
              <w:t xml:space="preserve">location </w:t>
            </w:r>
          </w:p>
          <w:p w14:paraId="1EA41C98" w14:textId="451AC368" w:rsidR="00A75223" w:rsidRPr="00F4286B" w:rsidRDefault="002D6186" w:rsidP="00805A70">
            <w:pPr>
              <w:spacing w:after="0" w:line="240" w:lineRule="auto"/>
              <w:rPr>
                <w:rFonts w:cs="Arial"/>
                <w:bCs/>
                <w:lang w:val="en-US"/>
              </w:rPr>
            </w:pPr>
            <w:r>
              <w:rPr>
                <w:spacing w:val="-2"/>
                <w:lang w:val="en-GB"/>
              </w:rPr>
              <w:t xml:space="preserve">Geographical focus of the report: Burkina Faso, </w:t>
            </w:r>
            <w:r w:rsidR="00A75223">
              <w:rPr>
                <w:spacing w:val="-2"/>
                <w:lang w:val="en-GB"/>
              </w:rPr>
              <w:t>Madagascar, Palestine.</w:t>
            </w:r>
          </w:p>
        </w:tc>
      </w:tr>
      <w:tr w:rsidR="0034247F" w:rsidRPr="00F4286B" w14:paraId="621DD796" w14:textId="77777777" w:rsidTr="00291F2C">
        <w:trPr>
          <w:jc w:val="center"/>
        </w:trPr>
        <w:tc>
          <w:tcPr>
            <w:tcW w:w="2972" w:type="dxa"/>
            <w:shd w:val="clear" w:color="auto" w:fill="auto"/>
          </w:tcPr>
          <w:p w14:paraId="1170C2C3" w14:textId="77777777" w:rsidR="0034247F" w:rsidRPr="00F4286B" w:rsidRDefault="0034247F" w:rsidP="00805A70">
            <w:pPr>
              <w:spacing w:after="0" w:line="240" w:lineRule="auto"/>
              <w:rPr>
                <w:rFonts w:cs="Arial"/>
                <w:b/>
                <w:bCs/>
                <w:lang w:val="en-US"/>
              </w:rPr>
            </w:pPr>
            <w:r w:rsidRPr="00F84F3A">
              <w:rPr>
                <w:b/>
                <w:lang w:val="en-US"/>
              </w:rPr>
              <w:t xml:space="preserve">ToR </w:t>
            </w:r>
            <w:r>
              <w:rPr>
                <w:b/>
                <w:lang w:val="en-US"/>
              </w:rPr>
              <w:t xml:space="preserve">last </w:t>
            </w:r>
            <w:r w:rsidRPr="00F4286B">
              <w:rPr>
                <w:b/>
                <w:lang w:val="en-US"/>
              </w:rPr>
              <w:t>updated:</w:t>
            </w:r>
          </w:p>
        </w:tc>
        <w:tc>
          <w:tcPr>
            <w:tcW w:w="6521" w:type="dxa"/>
            <w:shd w:val="clear" w:color="auto" w:fill="F2F2F2" w:themeFill="background1" w:themeFillShade="F2"/>
          </w:tcPr>
          <w:p w14:paraId="7B091204" w14:textId="6314487F" w:rsidR="0034247F" w:rsidRPr="00F4286B" w:rsidRDefault="006D5E7F" w:rsidP="00805A70">
            <w:pPr>
              <w:spacing w:after="0" w:line="240" w:lineRule="auto"/>
              <w:rPr>
                <w:rFonts w:cs="Arial"/>
                <w:lang w:val="en-US"/>
              </w:rPr>
            </w:pPr>
            <w:r>
              <w:rPr>
                <w:spacing w:val="-2"/>
              </w:rPr>
              <w:t>15</w:t>
            </w:r>
            <w:r w:rsidR="007232A2">
              <w:rPr>
                <w:spacing w:val="-2"/>
              </w:rPr>
              <w:t>/05</w:t>
            </w:r>
            <w:r w:rsidR="00E85F9E">
              <w:rPr>
                <w:spacing w:val="-2"/>
              </w:rPr>
              <w:t>/2023</w:t>
            </w:r>
          </w:p>
        </w:tc>
      </w:tr>
      <w:tr w:rsidR="0034247F" w:rsidRPr="006D5E7F" w14:paraId="14094DAC" w14:textId="77777777" w:rsidTr="00291F2C">
        <w:trPr>
          <w:jc w:val="center"/>
        </w:trPr>
        <w:tc>
          <w:tcPr>
            <w:tcW w:w="2972" w:type="dxa"/>
            <w:shd w:val="clear" w:color="auto" w:fill="auto"/>
          </w:tcPr>
          <w:p w14:paraId="2DE47FBE" w14:textId="51A16131" w:rsidR="0034247F" w:rsidRPr="00F4286B" w:rsidRDefault="0034247F" w:rsidP="00805A70">
            <w:pPr>
              <w:spacing w:after="0" w:line="240" w:lineRule="auto"/>
              <w:rPr>
                <w:rFonts w:cs="Arial"/>
                <w:b/>
                <w:bCs/>
                <w:lang w:val="en-US"/>
              </w:rPr>
            </w:pPr>
            <w:r w:rsidRPr="00F84F3A">
              <w:rPr>
                <w:rFonts w:cs="Arial"/>
                <w:b/>
                <w:bCs/>
                <w:lang w:val="en-US"/>
              </w:rPr>
              <w:t>Author</w:t>
            </w:r>
            <w:r w:rsidR="00A365C2">
              <w:rPr>
                <w:rFonts w:cs="Arial"/>
                <w:b/>
                <w:bCs/>
                <w:lang w:val="en-US"/>
              </w:rPr>
              <w:t>s</w:t>
            </w:r>
            <w:r w:rsidRPr="00F84F3A">
              <w:rPr>
                <w:rFonts w:cs="Arial"/>
                <w:b/>
                <w:bCs/>
                <w:lang w:val="en-US"/>
              </w:rPr>
              <w:t xml:space="preserve"> </w:t>
            </w:r>
            <w:r w:rsidRPr="00F4286B">
              <w:rPr>
                <w:rFonts w:cs="Arial"/>
                <w:b/>
                <w:bCs/>
                <w:lang w:val="en-US"/>
              </w:rPr>
              <w:t xml:space="preserve">of </w:t>
            </w:r>
            <w:r w:rsidRPr="00F84F3A">
              <w:rPr>
                <w:rFonts w:cs="Arial"/>
                <w:b/>
                <w:bCs/>
                <w:lang w:val="en-US"/>
              </w:rPr>
              <w:t>ToR</w:t>
            </w:r>
            <w:r w:rsidRPr="00F4286B">
              <w:rPr>
                <w:rFonts w:cs="Arial"/>
                <w:b/>
                <w:bCs/>
                <w:lang w:val="en-US"/>
              </w:rPr>
              <w:t>:</w:t>
            </w:r>
          </w:p>
        </w:tc>
        <w:tc>
          <w:tcPr>
            <w:tcW w:w="6521" w:type="dxa"/>
            <w:shd w:val="clear" w:color="auto" w:fill="F2F2F2" w:themeFill="background1" w:themeFillShade="F2"/>
          </w:tcPr>
          <w:p w14:paraId="0A6581B1" w14:textId="5B0E6837" w:rsidR="0034247F" w:rsidRPr="003D22C5" w:rsidRDefault="009D35D3" w:rsidP="00805A70">
            <w:pPr>
              <w:spacing w:after="0" w:line="240" w:lineRule="auto"/>
              <w:rPr>
                <w:spacing w:val="-2"/>
                <w:lang w:val="en-GB"/>
              </w:rPr>
            </w:pPr>
            <w:r w:rsidRPr="003D22C5">
              <w:rPr>
                <w:lang w:val="en-GB"/>
              </w:rPr>
              <w:t>Inclusive Development Advocacy Manager</w:t>
            </w:r>
          </w:p>
          <w:p w14:paraId="79A3DBC0" w14:textId="52C0E0F1" w:rsidR="00A75223" w:rsidRPr="00F4286B" w:rsidRDefault="009D35D3" w:rsidP="00805A70">
            <w:pPr>
              <w:spacing w:after="0" w:line="240" w:lineRule="auto"/>
              <w:rPr>
                <w:rFonts w:cs="Arial"/>
                <w:lang w:val="en-US"/>
              </w:rPr>
            </w:pPr>
            <w:r w:rsidRPr="003D22C5">
              <w:rPr>
                <w:spacing w:val="-2"/>
                <w:lang w:val="en-GB"/>
              </w:rPr>
              <w:t>Information &amp; Publication Advocacy Manager</w:t>
            </w:r>
          </w:p>
        </w:tc>
      </w:tr>
    </w:tbl>
    <w:p w14:paraId="43F56CAB" w14:textId="77777777" w:rsidR="00A305E3" w:rsidRDefault="00A305E3" w:rsidP="00285E4A">
      <w:pPr>
        <w:pStyle w:val="Titre1"/>
        <w:spacing w:before="0" w:line="240" w:lineRule="auto"/>
        <w:rPr>
          <w:lang w:val="en-US"/>
        </w:rPr>
      </w:pPr>
    </w:p>
    <w:p w14:paraId="3956A3E7" w14:textId="539B443F" w:rsidR="00A305E3" w:rsidRPr="000E7961" w:rsidRDefault="00A305E3" w:rsidP="00805A70">
      <w:pPr>
        <w:pStyle w:val="Titre2"/>
        <w:numPr>
          <w:ilvl w:val="0"/>
          <w:numId w:val="19"/>
        </w:numPr>
        <w:spacing w:before="0" w:line="240" w:lineRule="auto"/>
      </w:pPr>
      <w:r w:rsidRPr="000E7961">
        <w:t xml:space="preserve">Presentation of the </w:t>
      </w:r>
      <w:r w:rsidR="000E7961" w:rsidRPr="000E7961">
        <w:t>document</w:t>
      </w:r>
      <w:r w:rsidRPr="000E7961">
        <w:t xml:space="preserve"> </w:t>
      </w:r>
    </w:p>
    <w:p w14:paraId="4BDAAF35" w14:textId="77777777" w:rsidR="00A305E3" w:rsidRPr="00317267" w:rsidRDefault="00A305E3" w:rsidP="00805A70">
      <w:pPr>
        <w:spacing w:after="0" w:line="240" w:lineRule="auto"/>
        <w:rPr>
          <w:color w:val="808080"/>
          <w:lang w:val="en-US"/>
        </w:rPr>
      </w:pPr>
    </w:p>
    <w:p w14:paraId="1F805960" w14:textId="10821BBA" w:rsidR="00A305E3" w:rsidRPr="00176FEE" w:rsidRDefault="00A305E3" w:rsidP="00805A70">
      <w:pPr>
        <w:spacing w:after="0" w:line="240" w:lineRule="auto"/>
        <w:rPr>
          <w:b/>
          <w:lang w:val="en-US"/>
        </w:rPr>
      </w:pPr>
      <w:r>
        <w:rPr>
          <w:b/>
          <w:lang w:val="en-US"/>
        </w:rPr>
        <w:t>2</w:t>
      </w:r>
      <w:r w:rsidRPr="00176FEE">
        <w:rPr>
          <w:b/>
          <w:lang w:val="en-US"/>
        </w:rPr>
        <w:t xml:space="preserve">-1- </w:t>
      </w:r>
      <w:r>
        <w:rPr>
          <w:b/>
          <w:lang w:val="en-US"/>
        </w:rPr>
        <w:t xml:space="preserve">Why this </w:t>
      </w:r>
      <w:r w:rsidR="000E7961">
        <w:rPr>
          <w:b/>
          <w:lang w:val="en-US"/>
        </w:rPr>
        <w:t>document</w:t>
      </w:r>
      <w:r w:rsidRPr="00176FEE">
        <w:rPr>
          <w:b/>
          <w:lang w:val="en-US"/>
        </w:rPr>
        <w:t>?</w:t>
      </w:r>
    </w:p>
    <w:p w14:paraId="084CAB31" w14:textId="77777777" w:rsidR="00291F2C" w:rsidRPr="00291F2C" w:rsidRDefault="00291F2C" w:rsidP="00285E4A">
      <w:pPr>
        <w:spacing w:after="0" w:line="240" w:lineRule="auto"/>
        <w:rPr>
          <w:sz w:val="10"/>
          <w:szCs w:val="10"/>
          <w:lang w:val="en-US"/>
        </w:rPr>
      </w:pPr>
    </w:p>
    <w:p w14:paraId="48FFC028" w14:textId="5CDC3E3E" w:rsidR="00A365C2" w:rsidRPr="00A365C2" w:rsidRDefault="00A365C2" w:rsidP="003F66B8">
      <w:pPr>
        <w:spacing w:after="0" w:line="240" w:lineRule="auto"/>
        <w:jc w:val="both"/>
        <w:rPr>
          <w:lang w:val="en-US"/>
        </w:rPr>
      </w:pPr>
      <w:r w:rsidRPr="00A365C2">
        <w:rPr>
          <w:lang w:val="en-US"/>
        </w:rPr>
        <w:t>Inclusive education is a thematic priority for Humanity &amp; Inclusion’s international advocacy, with a strategic advocacy focus on strengthening the engagements of bilateral and multilateral donors in support of the education of children with disabilities in low and middle-income countries.</w:t>
      </w:r>
    </w:p>
    <w:p w14:paraId="291D98E6" w14:textId="77777777" w:rsidR="00291F2C" w:rsidRPr="00291F2C" w:rsidRDefault="00291F2C" w:rsidP="003F66B8">
      <w:pPr>
        <w:spacing w:after="0" w:line="240" w:lineRule="auto"/>
        <w:jc w:val="both"/>
        <w:rPr>
          <w:sz w:val="10"/>
          <w:szCs w:val="10"/>
          <w:lang w:val="en-US"/>
        </w:rPr>
      </w:pPr>
    </w:p>
    <w:p w14:paraId="167BA483" w14:textId="3E2EA956" w:rsidR="00A365C2" w:rsidRDefault="00A365C2" w:rsidP="003F66B8">
      <w:pPr>
        <w:spacing w:after="0" w:line="240" w:lineRule="auto"/>
        <w:jc w:val="both"/>
        <w:rPr>
          <w:lang w:val="en-US"/>
        </w:rPr>
      </w:pPr>
      <w:r w:rsidRPr="00A365C2">
        <w:rPr>
          <w:lang w:val="en-US"/>
        </w:rPr>
        <w:t>The stagnation of financing for education and a still-limited prioritization of a disability-inclusion approach affect progresses towards the achievement of Sustainable Development Goal n.4 on inclusive and quality education.</w:t>
      </w:r>
    </w:p>
    <w:p w14:paraId="1F231E1D" w14:textId="77777777" w:rsidR="007722D6" w:rsidRPr="007722D6" w:rsidRDefault="007722D6" w:rsidP="003F66B8">
      <w:pPr>
        <w:spacing w:after="0" w:line="240" w:lineRule="auto"/>
        <w:jc w:val="both"/>
        <w:rPr>
          <w:sz w:val="10"/>
          <w:szCs w:val="10"/>
          <w:lang w:val="en-US"/>
        </w:rPr>
      </w:pPr>
    </w:p>
    <w:p w14:paraId="2062F13C" w14:textId="4CCC6283" w:rsidR="00A365C2" w:rsidRPr="00A365C2" w:rsidRDefault="007722D6" w:rsidP="003F66B8">
      <w:pPr>
        <w:spacing w:after="0" w:line="240" w:lineRule="auto"/>
        <w:jc w:val="both"/>
        <w:rPr>
          <w:lang w:val="en-US"/>
        </w:rPr>
      </w:pPr>
      <w:r w:rsidRPr="00A365C2">
        <w:rPr>
          <w:lang w:val="en-US"/>
        </w:rPr>
        <w:t>To</w:t>
      </w:r>
      <w:r w:rsidR="00A365C2" w:rsidRPr="00A365C2">
        <w:rPr>
          <w:lang w:val="en-US"/>
        </w:rPr>
        <w:t xml:space="preserve"> fulfil the right to education for all, education systems need to become more inclusive for children and youth with disabilities and, at the same time, more resilient to cope with crises and to ensure education in all settings and circumstances.</w:t>
      </w:r>
    </w:p>
    <w:p w14:paraId="47188F57" w14:textId="77777777" w:rsidR="007722D6" w:rsidRPr="007722D6" w:rsidRDefault="007722D6" w:rsidP="003F66B8">
      <w:pPr>
        <w:spacing w:after="0" w:line="240" w:lineRule="auto"/>
        <w:jc w:val="both"/>
        <w:rPr>
          <w:sz w:val="10"/>
          <w:szCs w:val="10"/>
          <w:lang w:val="en-US"/>
        </w:rPr>
      </w:pPr>
    </w:p>
    <w:p w14:paraId="0ECD54C1" w14:textId="2695422D" w:rsidR="00A365C2" w:rsidRPr="00A365C2" w:rsidRDefault="00A365C2" w:rsidP="003F66B8">
      <w:pPr>
        <w:spacing w:after="0" w:line="240" w:lineRule="auto"/>
        <w:jc w:val="both"/>
        <w:rPr>
          <w:lang w:val="en-US"/>
        </w:rPr>
      </w:pPr>
      <w:r w:rsidRPr="00A365C2">
        <w:rPr>
          <w:lang w:val="en-US"/>
        </w:rPr>
        <w:t>This is particularly relevant in the world we live in, which is increasingly marked by multiple and simultaneous shocks, recurring and protracted crises and the impact of climate change.</w:t>
      </w:r>
    </w:p>
    <w:p w14:paraId="63CC7BA8" w14:textId="77777777" w:rsidR="007722D6" w:rsidRDefault="00A365C2" w:rsidP="003F66B8">
      <w:pPr>
        <w:spacing w:after="0" w:line="240" w:lineRule="auto"/>
        <w:jc w:val="both"/>
        <w:rPr>
          <w:lang w:val="en-US"/>
        </w:rPr>
      </w:pPr>
      <w:r w:rsidRPr="00A365C2">
        <w:rPr>
          <w:lang w:val="en-US"/>
        </w:rPr>
        <w:t xml:space="preserve">Humanity &amp; Inclusion runs inclusive education projects in 26 low and middle-income countries, both in development and humanitarian contexts and, often, in between those. </w:t>
      </w:r>
    </w:p>
    <w:p w14:paraId="76392E4D" w14:textId="1B7E9FFD" w:rsidR="00A365C2" w:rsidRPr="00A365C2" w:rsidRDefault="00A365C2" w:rsidP="003F66B8">
      <w:pPr>
        <w:spacing w:after="0" w:line="240" w:lineRule="auto"/>
        <w:jc w:val="both"/>
        <w:rPr>
          <w:lang w:val="en-US"/>
        </w:rPr>
      </w:pPr>
      <w:r w:rsidRPr="00A365C2">
        <w:rPr>
          <w:lang w:val="en-US"/>
        </w:rPr>
        <w:t xml:space="preserve">Our operational experience indicates that ensuring continuity of education is crucial, but also that children and youth with disabilities are more likely to miss out on education (and other </w:t>
      </w:r>
      <w:r w:rsidRPr="00A365C2">
        <w:rPr>
          <w:lang w:val="en-US"/>
        </w:rPr>
        <w:lastRenderedPageBreak/>
        <w:t>services) when the system enters in an ‘emergency’ mode or transitions from a crisis to a post-crisis situation.</w:t>
      </w:r>
    </w:p>
    <w:p w14:paraId="73165308" w14:textId="77777777" w:rsidR="007722D6" w:rsidRPr="007722D6" w:rsidRDefault="007722D6" w:rsidP="00805A70">
      <w:pPr>
        <w:spacing w:after="0" w:line="240" w:lineRule="auto"/>
        <w:rPr>
          <w:sz w:val="10"/>
          <w:szCs w:val="10"/>
          <w:lang w:val="en-US"/>
        </w:rPr>
      </w:pPr>
    </w:p>
    <w:p w14:paraId="0AB2370A" w14:textId="620BA06D" w:rsidR="00A365C2" w:rsidRPr="00A365C2" w:rsidRDefault="00A365C2" w:rsidP="003F66B8">
      <w:pPr>
        <w:spacing w:after="0" w:line="240" w:lineRule="auto"/>
        <w:jc w:val="both"/>
        <w:rPr>
          <w:lang w:val="en-US"/>
        </w:rPr>
      </w:pPr>
      <w:r w:rsidRPr="00A365C2">
        <w:rPr>
          <w:lang w:val="en-US"/>
        </w:rPr>
        <w:t>Inclusive education for children and youth with disabilities should not be put in place only when external conditions are optimal and stable, but it should be seen as an essential process embedded in education systems and pursued regardless of the external circumstances.</w:t>
      </w:r>
    </w:p>
    <w:p w14:paraId="790533B6" w14:textId="77777777" w:rsidR="007722D6" w:rsidRPr="007722D6" w:rsidRDefault="007722D6" w:rsidP="00805A70">
      <w:pPr>
        <w:spacing w:after="0" w:line="240" w:lineRule="auto"/>
        <w:rPr>
          <w:sz w:val="10"/>
          <w:szCs w:val="10"/>
          <w:lang w:val="en-US"/>
        </w:rPr>
      </w:pPr>
    </w:p>
    <w:p w14:paraId="0A2E3616" w14:textId="77777777" w:rsidR="00AB116A" w:rsidRDefault="00A365C2" w:rsidP="003F66B8">
      <w:pPr>
        <w:spacing w:after="0" w:line="240" w:lineRule="auto"/>
        <w:jc w:val="both"/>
        <w:rPr>
          <w:lang w:val="en-US"/>
        </w:rPr>
      </w:pPr>
      <w:r w:rsidRPr="00A365C2">
        <w:rPr>
          <w:lang w:val="en-US"/>
        </w:rPr>
        <w:t xml:space="preserve">The “nexus” (whether humanitarian-development nexus, or humanitarian-development-peace nexus) is a well-established concept demanding both humanitarian and development efforts to be more effectively connected towards achieving collective outcomes. </w:t>
      </w:r>
    </w:p>
    <w:p w14:paraId="33EADF11" w14:textId="77777777" w:rsidR="00AB116A" w:rsidRPr="00AB116A" w:rsidRDefault="00AB116A" w:rsidP="00805A70">
      <w:pPr>
        <w:spacing w:after="0" w:line="240" w:lineRule="auto"/>
        <w:rPr>
          <w:sz w:val="10"/>
          <w:szCs w:val="10"/>
          <w:lang w:val="en-US"/>
        </w:rPr>
      </w:pPr>
    </w:p>
    <w:p w14:paraId="71F61FDF" w14:textId="4250871E" w:rsidR="00A365C2" w:rsidRPr="00A365C2" w:rsidRDefault="00A365C2" w:rsidP="003F66B8">
      <w:pPr>
        <w:spacing w:after="0" w:line="240" w:lineRule="auto"/>
        <w:jc w:val="both"/>
        <w:rPr>
          <w:lang w:val="en-US"/>
        </w:rPr>
      </w:pPr>
      <w:r w:rsidRPr="00A365C2">
        <w:rPr>
          <w:lang w:val="en-US"/>
        </w:rPr>
        <w:t>Moving away from the ideal of a linear continuum from humanitarian to development approaches, access to services (like education) is often operationalised via a “</w:t>
      </w:r>
      <w:r w:rsidR="00B73618" w:rsidRPr="00A365C2">
        <w:rPr>
          <w:lang w:val="en-US"/>
        </w:rPr>
        <w:t>conti</w:t>
      </w:r>
      <w:r w:rsidR="00B73618">
        <w:rPr>
          <w:lang w:val="en-US"/>
        </w:rPr>
        <w:t>g</w:t>
      </w:r>
      <w:r w:rsidR="00B73618" w:rsidRPr="00A365C2">
        <w:rPr>
          <w:lang w:val="en-US"/>
        </w:rPr>
        <w:t xml:space="preserve">uum </w:t>
      </w:r>
      <w:r w:rsidRPr="00A365C2">
        <w:rPr>
          <w:lang w:val="en-US"/>
        </w:rPr>
        <w:t xml:space="preserve">approach”, through which humanitarian relief and </w:t>
      </w:r>
      <w:r w:rsidR="00C27F59">
        <w:rPr>
          <w:lang w:val="en-US"/>
        </w:rPr>
        <w:t>development</w:t>
      </w:r>
      <w:r w:rsidRPr="00A365C2">
        <w:rPr>
          <w:lang w:val="en-US"/>
        </w:rPr>
        <w:t xml:space="preserve"> actions may take place – and be financed – simultaneously in a given context.</w:t>
      </w:r>
    </w:p>
    <w:p w14:paraId="170FAA37" w14:textId="77777777" w:rsidR="007722D6" w:rsidRPr="007722D6" w:rsidRDefault="007722D6" w:rsidP="003F66B8">
      <w:pPr>
        <w:spacing w:after="0" w:line="240" w:lineRule="auto"/>
        <w:jc w:val="both"/>
        <w:rPr>
          <w:sz w:val="10"/>
          <w:szCs w:val="10"/>
          <w:lang w:val="en-US"/>
        </w:rPr>
      </w:pPr>
    </w:p>
    <w:p w14:paraId="0C27C81B" w14:textId="00534F23" w:rsidR="00A365C2" w:rsidRDefault="00A365C2" w:rsidP="003F66B8">
      <w:pPr>
        <w:spacing w:after="0" w:line="240" w:lineRule="auto"/>
        <w:jc w:val="both"/>
        <w:rPr>
          <w:lang w:val="en-US"/>
        </w:rPr>
      </w:pPr>
      <w:r w:rsidRPr="00A365C2">
        <w:rPr>
          <w:lang w:val="en-US"/>
        </w:rPr>
        <w:t>HI places “access to services” at the core of its Theory of Change and strives to strengthen the coherence of its interventions throughout the nexus. Therefore, it is for us relevant to leverage the attention on the continuity of access to inclusive quality education services via better collaboration (among humanitarian and development actors and with local actors) and coherence (between relief and development action/financing).</w:t>
      </w:r>
    </w:p>
    <w:p w14:paraId="1582BD3C" w14:textId="77777777" w:rsidR="00A365C2" w:rsidRPr="0076111B" w:rsidRDefault="00A365C2" w:rsidP="003F66B8">
      <w:pPr>
        <w:spacing w:after="0" w:line="240" w:lineRule="auto"/>
        <w:jc w:val="both"/>
        <w:rPr>
          <w:lang w:val="en-US"/>
        </w:rPr>
      </w:pPr>
    </w:p>
    <w:p w14:paraId="1AEC0E26" w14:textId="48E74DF0" w:rsidR="00A305E3" w:rsidRPr="00BC6E5E" w:rsidRDefault="00A305E3" w:rsidP="00805A70">
      <w:pPr>
        <w:spacing w:after="0" w:line="240" w:lineRule="auto"/>
        <w:rPr>
          <w:b/>
          <w:lang w:val="en-US"/>
        </w:rPr>
      </w:pPr>
      <w:r>
        <w:rPr>
          <w:b/>
          <w:lang w:val="en-US"/>
        </w:rPr>
        <w:t>2</w:t>
      </w:r>
      <w:r w:rsidRPr="00BC6E5E">
        <w:rPr>
          <w:b/>
          <w:lang w:val="en-US"/>
        </w:rPr>
        <w:t xml:space="preserve">-2- </w:t>
      </w:r>
      <w:r w:rsidR="000E7961">
        <w:rPr>
          <w:b/>
          <w:lang w:val="en-US"/>
        </w:rPr>
        <w:t>Document</w:t>
      </w:r>
      <w:r>
        <w:rPr>
          <w:b/>
          <w:lang w:val="en-US"/>
        </w:rPr>
        <w:t>’s</w:t>
      </w:r>
      <w:r w:rsidRPr="00BC6E5E">
        <w:rPr>
          <w:b/>
          <w:lang w:val="en-US"/>
        </w:rPr>
        <w:t xml:space="preserve"> objectives</w:t>
      </w:r>
    </w:p>
    <w:p w14:paraId="0B8E96AF" w14:textId="77777777" w:rsidR="007722D6" w:rsidRPr="007722D6" w:rsidRDefault="007722D6" w:rsidP="00805A70">
      <w:pPr>
        <w:spacing w:after="0" w:line="240" w:lineRule="auto"/>
        <w:rPr>
          <w:sz w:val="10"/>
          <w:szCs w:val="10"/>
          <w:lang w:val="en-US"/>
        </w:rPr>
      </w:pPr>
    </w:p>
    <w:p w14:paraId="0922BC3B" w14:textId="5256265D" w:rsidR="00A365C2" w:rsidRDefault="00A365C2" w:rsidP="00805A70">
      <w:pPr>
        <w:spacing w:after="0" w:line="240" w:lineRule="auto"/>
        <w:rPr>
          <w:lang w:val="en-US"/>
        </w:rPr>
      </w:pPr>
      <w:r w:rsidRPr="00A365C2">
        <w:rPr>
          <w:lang w:val="en-US"/>
        </w:rPr>
        <w:t>This report aims to:</w:t>
      </w:r>
    </w:p>
    <w:p w14:paraId="4E0A8F75" w14:textId="77777777" w:rsidR="007722D6" w:rsidRPr="007722D6" w:rsidRDefault="007722D6" w:rsidP="00805A70">
      <w:pPr>
        <w:spacing w:after="0" w:line="240" w:lineRule="auto"/>
        <w:rPr>
          <w:sz w:val="10"/>
          <w:szCs w:val="10"/>
          <w:lang w:val="en-US"/>
        </w:rPr>
      </w:pPr>
    </w:p>
    <w:p w14:paraId="393D1E11" w14:textId="184B5BBF" w:rsidR="00A365C2" w:rsidRDefault="00A365C2" w:rsidP="003F66B8">
      <w:pPr>
        <w:pStyle w:val="Paragraphedeliste"/>
        <w:numPr>
          <w:ilvl w:val="0"/>
          <w:numId w:val="23"/>
        </w:numPr>
        <w:jc w:val="both"/>
        <w:rPr>
          <w:lang w:val="en-US"/>
        </w:rPr>
      </w:pPr>
      <w:r w:rsidRPr="002D6186">
        <w:rPr>
          <w:lang w:val="en-US"/>
        </w:rPr>
        <w:t>Raise the attention on how intersecting inequalities affect the right to education of children and youth with disabilities in crisis and crisis-prone contexts.</w:t>
      </w:r>
    </w:p>
    <w:p w14:paraId="1E0B6503" w14:textId="77777777" w:rsidR="007722D6" w:rsidRPr="007722D6" w:rsidRDefault="007722D6" w:rsidP="003F66B8">
      <w:pPr>
        <w:pStyle w:val="Paragraphedeliste"/>
        <w:jc w:val="both"/>
        <w:rPr>
          <w:sz w:val="10"/>
          <w:szCs w:val="10"/>
          <w:lang w:val="en-US"/>
        </w:rPr>
      </w:pPr>
    </w:p>
    <w:p w14:paraId="78B74FFC" w14:textId="557DB6DD" w:rsidR="00A365C2" w:rsidRDefault="00A365C2" w:rsidP="003F66B8">
      <w:pPr>
        <w:pStyle w:val="Paragraphedeliste"/>
        <w:numPr>
          <w:ilvl w:val="0"/>
          <w:numId w:val="23"/>
        </w:numPr>
        <w:jc w:val="both"/>
        <w:rPr>
          <w:lang w:val="en-US"/>
        </w:rPr>
      </w:pPr>
      <w:r w:rsidRPr="002D6186">
        <w:rPr>
          <w:lang w:val="en-US"/>
        </w:rPr>
        <w:t xml:space="preserve">Call on critical stakeholders to take action and ensure access to education for children with disabilities, without interruption, before, during and after crisis. </w:t>
      </w:r>
    </w:p>
    <w:p w14:paraId="52DD196C" w14:textId="77777777" w:rsidR="007722D6" w:rsidRPr="007722D6" w:rsidRDefault="007722D6" w:rsidP="007722D6">
      <w:pPr>
        <w:pStyle w:val="Paragraphedeliste"/>
        <w:rPr>
          <w:sz w:val="10"/>
          <w:szCs w:val="10"/>
          <w:lang w:val="en-US"/>
        </w:rPr>
      </w:pPr>
    </w:p>
    <w:p w14:paraId="2B846046" w14:textId="78A16334" w:rsidR="00A365C2" w:rsidRPr="002D6186" w:rsidRDefault="00A365C2" w:rsidP="003F66B8">
      <w:pPr>
        <w:pStyle w:val="Paragraphedeliste"/>
        <w:numPr>
          <w:ilvl w:val="0"/>
          <w:numId w:val="23"/>
        </w:numPr>
        <w:jc w:val="both"/>
        <w:rPr>
          <w:lang w:val="en-US"/>
        </w:rPr>
      </w:pPr>
      <w:r w:rsidRPr="002D6186">
        <w:rPr>
          <w:lang w:val="en-US"/>
        </w:rPr>
        <w:t>Inform the strategic planning/programming of development and humanitarian donors, governments, and NGOs/CSOs, towards stronger engagements in making inclusive education and essential component of coordinated and coherent responses.</w:t>
      </w:r>
    </w:p>
    <w:p w14:paraId="106E1C4C" w14:textId="77777777" w:rsidR="00A365C2" w:rsidRPr="007722D6" w:rsidRDefault="00A365C2" w:rsidP="00805A70">
      <w:pPr>
        <w:spacing w:after="0" w:line="240" w:lineRule="auto"/>
        <w:rPr>
          <w:sz w:val="10"/>
          <w:szCs w:val="10"/>
          <w:lang w:val="en-US"/>
        </w:rPr>
      </w:pPr>
    </w:p>
    <w:p w14:paraId="6B40524B" w14:textId="43CA6072" w:rsidR="00A365C2" w:rsidRDefault="00A365C2" w:rsidP="003F66B8">
      <w:pPr>
        <w:spacing w:after="0" w:line="240" w:lineRule="auto"/>
        <w:jc w:val="both"/>
        <w:rPr>
          <w:lang w:val="en-US"/>
        </w:rPr>
      </w:pPr>
      <w:r w:rsidRPr="00A365C2">
        <w:rPr>
          <w:lang w:val="en-US"/>
        </w:rPr>
        <w:t>In addressing access to education before, during, and after crisis, we will focus on the distinctive HI’s policy and operational expertise and added value:</w:t>
      </w:r>
    </w:p>
    <w:p w14:paraId="45E2BEEB" w14:textId="77777777" w:rsidR="007722D6" w:rsidRPr="007722D6" w:rsidRDefault="007722D6" w:rsidP="003F66B8">
      <w:pPr>
        <w:spacing w:after="0" w:line="240" w:lineRule="auto"/>
        <w:jc w:val="both"/>
        <w:rPr>
          <w:sz w:val="10"/>
          <w:szCs w:val="10"/>
          <w:lang w:val="en-US"/>
        </w:rPr>
      </w:pPr>
    </w:p>
    <w:p w14:paraId="1DA1FA6A" w14:textId="707A53DD" w:rsidR="00A365C2" w:rsidRDefault="00A365C2" w:rsidP="003F66B8">
      <w:pPr>
        <w:pStyle w:val="Paragraphedeliste"/>
        <w:numPr>
          <w:ilvl w:val="0"/>
          <w:numId w:val="25"/>
        </w:numPr>
        <w:jc w:val="both"/>
        <w:rPr>
          <w:lang w:val="en-US"/>
        </w:rPr>
      </w:pPr>
      <w:r w:rsidRPr="002D6186">
        <w:rPr>
          <w:lang w:val="en-US"/>
        </w:rPr>
        <w:t>The inclusion of children with disabilities in education (in contexts of development and humanitarian crises)</w:t>
      </w:r>
      <w:r w:rsidR="002D6186">
        <w:rPr>
          <w:lang w:val="en-US"/>
        </w:rPr>
        <w:t>,</w:t>
      </w:r>
    </w:p>
    <w:p w14:paraId="1FF04544" w14:textId="77777777" w:rsidR="007722D6" w:rsidRPr="007722D6" w:rsidRDefault="007722D6" w:rsidP="003F66B8">
      <w:pPr>
        <w:spacing w:after="0" w:line="240" w:lineRule="auto"/>
        <w:jc w:val="both"/>
        <w:rPr>
          <w:sz w:val="10"/>
          <w:szCs w:val="10"/>
          <w:lang w:val="en-US"/>
        </w:rPr>
      </w:pPr>
    </w:p>
    <w:p w14:paraId="6A106F06" w14:textId="6BA92626" w:rsidR="00A365C2" w:rsidRDefault="00A365C2" w:rsidP="003F66B8">
      <w:pPr>
        <w:pStyle w:val="Paragraphedeliste"/>
        <w:numPr>
          <w:ilvl w:val="0"/>
          <w:numId w:val="25"/>
        </w:numPr>
        <w:jc w:val="both"/>
        <w:rPr>
          <w:lang w:val="en-US"/>
        </w:rPr>
      </w:pPr>
      <w:r w:rsidRPr="002D6186">
        <w:rPr>
          <w:lang w:val="en-US"/>
        </w:rPr>
        <w:t>The promotion of a multi-sectoral approach, which fosters collaboration and synergies across sectors and actors</w:t>
      </w:r>
      <w:r w:rsidR="002D6186">
        <w:rPr>
          <w:lang w:val="en-US"/>
        </w:rPr>
        <w:t>,</w:t>
      </w:r>
    </w:p>
    <w:p w14:paraId="53295DFD" w14:textId="77777777" w:rsidR="007722D6" w:rsidRPr="007722D6" w:rsidRDefault="007722D6" w:rsidP="007722D6">
      <w:pPr>
        <w:spacing w:after="0" w:line="240" w:lineRule="auto"/>
        <w:rPr>
          <w:sz w:val="10"/>
          <w:szCs w:val="10"/>
          <w:lang w:val="en-US"/>
        </w:rPr>
      </w:pPr>
    </w:p>
    <w:p w14:paraId="6B86256E" w14:textId="4F745052" w:rsidR="00A365C2" w:rsidRPr="002D6186" w:rsidRDefault="00A365C2" w:rsidP="003F66B8">
      <w:pPr>
        <w:pStyle w:val="Paragraphedeliste"/>
        <w:numPr>
          <w:ilvl w:val="0"/>
          <w:numId w:val="25"/>
        </w:numPr>
        <w:jc w:val="both"/>
        <w:rPr>
          <w:lang w:val="en-US"/>
        </w:rPr>
      </w:pPr>
      <w:r w:rsidRPr="002D6186">
        <w:rPr>
          <w:lang w:val="en-US"/>
        </w:rPr>
        <w:t>The attention to intersectionality (in particular between disability, gender, and age).</w:t>
      </w:r>
    </w:p>
    <w:p w14:paraId="46A73DB8" w14:textId="07162417" w:rsidR="007722D6" w:rsidRDefault="007722D6" w:rsidP="003F66B8">
      <w:pPr>
        <w:spacing w:after="0" w:line="240" w:lineRule="auto"/>
        <w:jc w:val="both"/>
        <w:rPr>
          <w:b/>
          <w:lang w:val="en-US"/>
        </w:rPr>
      </w:pPr>
      <w:r>
        <w:rPr>
          <w:b/>
          <w:lang w:val="en-US"/>
        </w:rPr>
        <w:br w:type="page"/>
      </w:r>
    </w:p>
    <w:p w14:paraId="3EA85D07" w14:textId="476F55BD" w:rsidR="00A305E3" w:rsidRDefault="00A305E3" w:rsidP="00805A70">
      <w:pPr>
        <w:spacing w:after="0" w:line="240" w:lineRule="auto"/>
        <w:rPr>
          <w:b/>
          <w:lang w:val="en-US"/>
        </w:rPr>
      </w:pPr>
      <w:r>
        <w:rPr>
          <w:b/>
          <w:lang w:val="en-US"/>
        </w:rPr>
        <w:lastRenderedPageBreak/>
        <w:t>2</w:t>
      </w:r>
      <w:r w:rsidRPr="00841C78">
        <w:rPr>
          <w:b/>
          <w:lang w:val="en-US"/>
        </w:rPr>
        <w:t>-</w:t>
      </w:r>
      <w:r>
        <w:rPr>
          <w:b/>
          <w:lang w:val="en-US"/>
        </w:rPr>
        <w:t xml:space="preserve">3- Advocacy targets </w:t>
      </w:r>
      <w:r w:rsidR="000E7961">
        <w:rPr>
          <w:b/>
          <w:lang w:val="en-US"/>
        </w:rPr>
        <w:t xml:space="preserve">and foreseen use </w:t>
      </w:r>
      <w:r>
        <w:rPr>
          <w:b/>
          <w:lang w:val="en-US"/>
        </w:rPr>
        <w:t xml:space="preserve">of the </w:t>
      </w:r>
      <w:r w:rsidR="000E7961">
        <w:rPr>
          <w:b/>
          <w:lang w:val="en-US"/>
        </w:rPr>
        <w:t>document</w:t>
      </w:r>
    </w:p>
    <w:p w14:paraId="153911EC" w14:textId="77777777" w:rsidR="007722D6" w:rsidRPr="007722D6" w:rsidRDefault="007722D6" w:rsidP="00805A70">
      <w:pPr>
        <w:spacing w:after="0" w:line="240" w:lineRule="auto"/>
        <w:rPr>
          <w:b/>
          <w:sz w:val="10"/>
          <w:szCs w:val="10"/>
          <w:lang w:val="en-US"/>
        </w:rPr>
      </w:pPr>
    </w:p>
    <w:p w14:paraId="2DD10BBC" w14:textId="2084A54C" w:rsidR="00A365C2" w:rsidRPr="002D6186" w:rsidRDefault="00A365C2" w:rsidP="003F66B8">
      <w:pPr>
        <w:pStyle w:val="Paragraphedeliste"/>
        <w:numPr>
          <w:ilvl w:val="0"/>
          <w:numId w:val="31"/>
        </w:numPr>
        <w:jc w:val="both"/>
        <w:rPr>
          <w:lang w:val="en-US"/>
        </w:rPr>
      </w:pPr>
      <w:r w:rsidRPr="002D6186">
        <w:rPr>
          <w:lang w:val="en-US"/>
        </w:rPr>
        <w:t xml:space="preserve">International donors (in particular AFD, the EU, FCDO, as the donors under examination in the </w:t>
      </w:r>
      <w:r w:rsidR="002D6186">
        <w:rPr>
          <w:lang w:val="en-US"/>
        </w:rPr>
        <w:t>r</w:t>
      </w:r>
      <w:r w:rsidRPr="002D6186">
        <w:rPr>
          <w:lang w:val="en-US"/>
        </w:rPr>
        <w:t>eport, and GLAD members) – Donors’ funding and financing tools, instruments, policies and approaches are pivotal to ensure not only that education continues regardless the circumstances, but also that children with disabilities are included. Via their support, donors play a role in strengthening countries’ education systems, for better resilience and inclusion.</w:t>
      </w:r>
    </w:p>
    <w:p w14:paraId="5F397DDC" w14:textId="288BE248" w:rsidR="00A365C2" w:rsidRPr="002D6186" w:rsidRDefault="00A365C2" w:rsidP="003F66B8">
      <w:pPr>
        <w:pStyle w:val="Paragraphedeliste"/>
        <w:numPr>
          <w:ilvl w:val="0"/>
          <w:numId w:val="31"/>
        </w:numPr>
        <w:jc w:val="both"/>
        <w:rPr>
          <w:lang w:val="en-US"/>
        </w:rPr>
      </w:pPr>
      <w:r w:rsidRPr="002D6186">
        <w:rPr>
          <w:lang w:val="en-US"/>
        </w:rPr>
        <w:t xml:space="preserve">UN </w:t>
      </w:r>
      <w:r w:rsidR="00C27F59">
        <w:rPr>
          <w:lang w:val="en-US"/>
        </w:rPr>
        <w:t>agencies</w:t>
      </w:r>
      <w:r w:rsidRPr="002D6186">
        <w:rPr>
          <w:lang w:val="en-US"/>
        </w:rPr>
        <w:t xml:space="preserve"> (in particular UNICEF that is under examination in the </w:t>
      </w:r>
      <w:r w:rsidR="002D6186">
        <w:rPr>
          <w:lang w:val="en-US"/>
        </w:rPr>
        <w:t>r</w:t>
      </w:r>
      <w:r w:rsidRPr="002D6186">
        <w:rPr>
          <w:lang w:val="en-US"/>
        </w:rPr>
        <w:t xml:space="preserve">eport, UNESCO, and UNGEI) – </w:t>
      </w:r>
      <w:r w:rsidR="007722D6">
        <w:rPr>
          <w:lang w:val="en-US"/>
        </w:rPr>
        <w:t>v</w:t>
      </w:r>
      <w:r w:rsidRPr="002D6186">
        <w:rPr>
          <w:lang w:val="en-US"/>
        </w:rPr>
        <w:t>ia their technical support to countries, as well as their financing and programming capacity, these UN agencies are key players in education and shape the orientations of other stakeholders.</w:t>
      </w:r>
    </w:p>
    <w:p w14:paraId="3B9E51B1" w14:textId="12D8CCC7" w:rsidR="00A365C2" w:rsidRPr="002D6186" w:rsidRDefault="00A365C2" w:rsidP="003F66B8">
      <w:pPr>
        <w:pStyle w:val="Paragraphedeliste"/>
        <w:numPr>
          <w:ilvl w:val="0"/>
          <w:numId w:val="31"/>
        </w:numPr>
        <w:jc w:val="both"/>
        <w:rPr>
          <w:lang w:val="en-US"/>
        </w:rPr>
      </w:pPr>
      <w:r w:rsidRPr="002D6186">
        <w:rPr>
          <w:lang w:val="en-US"/>
        </w:rPr>
        <w:t>National governments (in particular in Burkina Faso, Madagascar, and Palestine because of the focus of this publication, but also in other countries where HI operates) – National governments are the key duty-bearers to fulfil the right to education, as the primary responsible for delivering education services to their populations. While the Ministry of Education is in lead, other relevant Ministries can also be targeted (for example, the Ministry of Social Affairs, Disability, Financing, etc.)</w:t>
      </w:r>
      <w:r w:rsidR="002D6186">
        <w:rPr>
          <w:lang w:val="en-US"/>
        </w:rPr>
        <w:t>.</w:t>
      </w:r>
    </w:p>
    <w:p w14:paraId="1884AE93" w14:textId="4DDC8739" w:rsidR="00A365C2" w:rsidRPr="002D6186" w:rsidRDefault="00A365C2" w:rsidP="003F66B8">
      <w:pPr>
        <w:pStyle w:val="Paragraphedeliste"/>
        <w:numPr>
          <w:ilvl w:val="0"/>
          <w:numId w:val="31"/>
        </w:numPr>
        <w:jc w:val="both"/>
        <w:rPr>
          <w:lang w:val="en-US"/>
        </w:rPr>
      </w:pPr>
      <w:r w:rsidRPr="002D6186">
        <w:rPr>
          <w:lang w:val="en-US"/>
        </w:rPr>
        <w:t>CSOs, NGOs and OPDs (at the international level as well as at the national/local level, both mainstream and disability-focused) – CSOs and NGOs play a critical role in holding decision-makers accountable, calling for the needed changes, and promoting inclusion via their projects/programs. During emergencies or particularly challenging circumstances, CSOs and NGOs may also deliver education services in a given context.</w:t>
      </w:r>
    </w:p>
    <w:p w14:paraId="3E5827AA" w14:textId="77777777" w:rsidR="00A365C2" w:rsidRPr="00AB116A" w:rsidRDefault="00A365C2" w:rsidP="00805A70">
      <w:pPr>
        <w:spacing w:after="0" w:line="240" w:lineRule="auto"/>
        <w:rPr>
          <w:sz w:val="10"/>
          <w:szCs w:val="10"/>
          <w:lang w:val="en-US"/>
        </w:rPr>
      </w:pPr>
    </w:p>
    <w:p w14:paraId="5C059F84" w14:textId="05E4E231" w:rsidR="00A305E3" w:rsidRPr="00841C78" w:rsidRDefault="00A305E3" w:rsidP="00805A70">
      <w:pPr>
        <w:spacing w:after="0" w:line="240" w:lineRule="auto"/>
        <w:rPr>
          <w:b/>
          <w:lang w:val="en-US"/>
        </w:rPr>
      </w:pPr>
      <w:r>
        <w:rPr>
          <w:b/>
          <w:lang w:val="en-US"/>
        </w:rPr>
        <w:t>2</w:t>
      </w:r>
      <w:r w:rsidRPr="00841C78">
        <w:rPr>
          <w:b/>
          <w:lang w:val="en-US"/>
        </w:rPr>
        <w:t>-</w:t>
      </w:r>
      <w:r>
        <w:rPr>
          <w:b/>
          <w:lang w:val="en-US"/>
        </w:rPr>
        <w:t>4</w:t>
      </w:r>
      <w:r w:rsidRPr="00841C78">
        <w:rPr>
          <w:b/>
          <w:lang w:val="en-US"/>
        </w:rPr>
        <w:t xml:space="preserve">- </w:t>
      </w:r>
      <w:r w:rsidR="000E7961">
        <w:rPr>
          <w:b/>
          <w:lang w:val="en-US"/>
        </w:rPr>
        <w:t>Proposed m</w:t>
      </w:r>
      <w:r w:rsidRPr="00841C78">
        <w:rPr>
          <w:b/>
          <w:lang w:val="en-US"/>
        </w:rPr>
        <w:t>ethodology</w:t>
      </w:r>
    </w:p>
    <w:p w14:paraId="3A385ED9" w14:textId="77777777" w:rsidR="0034247F" w:rsidRPr="007722D6" w:rsidRDefault="0034247F" w:rsidP="00285E4A">
      <w:pPr>
        <w:pStyle w:val="Corpsdetexte"/>
        <w:rPr>
          <w:sz w:val="10"/>
          <w:szCs w:val="10"/>
          <w:highlight w:val="yellow"/>
        </w:rPr>
      </w:pPr>
    </w:p>
    <w:p w14:paraId="31B1C72A" w14:textId="5B00434D" w:rsidR="00A365C2" w:rsidRDefault="00A365C2" w:rsidP="00805A70">
      <w:pPr>
        <w:spacing w:after="0" w:line="240" w:lineRule="auto"/>
        <w:rPr>
          <w:lang w:val="en-US"/>
        </w:rPr>
      </w:pPr>
      <w:r w:rsidRPr="00AE192C">
        <w:rPr>
          <w:lang w:val="en-US"/>
        </w:rPr>
        <w:t xml:space="preserve">The report </w:t>
      </w:r>
      <w:r w:rsidR="00AE192C" w:rsidRPr="00AE192C">
        <w:rPr>
          <w:lang w:val="en-US"/>
        </w:rPr>
        <w:t>will build on</w:t>
      </w:r>
      <w:r w:rsidRPr="00AE192C">
        <w:rPr>
          <w:lang w:val="en-US"/>
        </w:rPr>
        <w:t>:</w:t>
      </w:r>
    </w:p>
    <w:p w14:paraId="3422BF29" w14:textId="77777777" w:rsidR="007722D6" w:rsidRPr="007722D6" w:rsidRDefault="007722D6" w:rsidP="00805A70">
      <w:pPr>
        <w:spacing w:after="0" w:line="240" w:lineRule="auto"/>
        <w:rPr>
          <w:sz w:val="10"/>
          <w:szCs w:val="10"/>
          <w:lang w:val="en-US"/>
        </w:rPr>
      </w:pPr>
    </w:p>
    <w:p w14:paraId="43AA596C" w14:textId="77777777" w:rsidR="00B67786" w:rsidRDefault="00A365C2" w:rsidP="003F66B8">
      <w:pPr>
        <w:pStyle w:val="Paragraphedeliste"/>
        <w:numPr>
          <w:ilvl w:val="0"/>
          <w:numId w:val="44"/>
        </w:numPr>
        <w:jc w:val="both"/>
        <w:rPr>
          <w:lang w:val="en-US"/>
        </w:rPr>
      </w:pPr>
      <w:r w:rsidRPr="00B67786">
        <w:rPr>
          <w:lang w:val="en-US"/>
        </w:rPr>
        <w:t>Three (3) testimonies from children and youth with disabilities and their fam</w:t>
      </w:r>
      <w:r w:rsidR="00AE192C" w:rsidRPr="00B67786">
        <w:rPr>
          <w:lang w:val="en-US"/>
        </w:rPr>
        <w:t xml:space="preserve">ilies (participants in </w:t>
      </w:r>
      <w:r w:rsidRPr="00B67786">
        <w:rPr>
          <w:lang w:val="en-US"/>
        </w:rPr>
        <w:t>HI projects), in the countries under focus (Burkina Faso, Madagascar, and Palestine), providing their lived experiences of barriers and enablers to fulfill the right to education in crisis and crisis-prone contexts.</w:t>
      </w:r>
      <w:r w:rsidR="00B67786" w:rsidRPr="00B67786">
        <w:rPr>
          <w:lang w:val="en-US"/>
        </w:rPr>
        <w:t xml:space="preserve"> </w:t>
      </w:r>
    </w:p>
    <w:p w14:paraId="2CDE2275" w14:textId="77777777" w:rsidR="000E3478" w:rsidRPr="000E3478" w:rsidRDefault="000E3478" w:rsidP="00805A70">
      <w:pPr>
        <w:spacing w:after="0" w:line="240" w:lineRule="auto"/>
        <w:rPr>
          <w:i/>
          <w:sz w:val="10"/>
          <w:szCs w:val="10"/>
          <w:lang w:val="en-US"/>
        </w:rPr>
      </w:pPr>
    </w:p>
    <w:p w14:paraId="70E2C5AB" w14:textId="00608AAD" w:rsidR="00B67786" w:rsidRPr="000E3478" w:rsidRDefault="00B67786" w:rsidP="003F66B8">
      <w:pPr>
        <w:pStyle w:val="Paragraphedeliste"/>
        <w:numPr>
          <w:ilvl w:val="0"/>
          <w:numId w:val="45"/>
        </w:numPr>
        <w:jc w:val="both"/>
        <w:rPr>
          <w:i/>
          <w:lang w:val="en-US"/>
        </w:rPr>
      </w:pPr>
      <w:r w:rsidRPr="000E3478">
        <w:rPr>
          <w:i/>
          <w:lang w:val="en-US"/>
        </w:rPr>
        <w:t>Testimonies will be provided by HI Programmes in the countries under focus.</w:t>
      </w:r>
    </w:p>
    <w:p w14:paraId="05C80797" w14:textId="77777777" w:rsidR="00B67786" w:rsidRPr="00291F2C" w:rsidRDefault="00B67786" w:rsidP="00805A70">
      <w:pPr>
        <w:spacing w:after="0" w:line="240" w:lineRule="auto"/>
        <w:rPr>
          <w:sz w:val="10"/>
          <w:szCs w:val="10"/>
          <w:lang w:val="en-US"/>
        </w:rPr>
      </w:pPr>
    </w:p>
    <w:p w14:paraId="04B01005" w14:textId="1ABDC6C4" w:rsidR="00A365C2" w:rsidRDefault="00A365C2" w:rsidP="003F66B8">
      <w:pPr>
        <w:pStyle w:val="Paragraphedeliste"/>
        <w:numPr>
          <w:ilvl w:val="1"/>
          <w:numId w:val="43"/>
        </w:numPr>
        <w:jc w:val="both"/>
        <w:rPr>
          <w:lang w:val="en-US"/>
        </w:rPr>
      </w:pPr>
      <w:r w:rsidRPr="00406982">
        <w:rPr>
          <w:lang w:val="en-US"/>
        </w:rPr>
        <w:t>Three (3) case-studies from HI projects, international donors’ and governments’ efforts in the countries under focus or from other countries where these case-studies already exist, providing concrete examples of how disability-inclusion education can be ensured before, during, and after crisis.</w:t>
      </w:r>
    </w:p>
    <w:p w14:paraId="4F65FA7E" w14:textId="77777777" w:rsidR="000E3478" w:rsidRPr="000E3478" w:rsidRDefault="000E3478" w:rsidP="003F66B8">
      <w:pPr>
        <w:spacing w:after="0" w:line="240" w:lineRule="auto"/>
        <w:jc w:val="both"/>
        <w:rPr>
          <w:i/>
          <w:sz w:val="10"/>
          <w:szCs w:val="10"/>
          <w:lang w:val="en-US"/>
        </w:rPr>
      </w:pPr>
    </w:p>
    <w:p w14:paraId="7D7F1282" w14:textId="46A510C1" w:rsidR="00B67786" w:rsidRPr="000E3478" w:rsidRDefault="00B67786" w:rsidP="003F66B8">
      <w:pPr>
        <w:pStyle w:val="Paragraphedeliste"/>
        <w:numPr>
          <w:ilvl w:val="0"/>
          <w:numId w:val="45"/>
        </w:numPr>
        <w:jc w:val="both"/>
        <w:rPr>
          <w:i/>
          <w:lang w:val="en-US"/>
        </w:rPr>
      </w:pPr>
      <w:r w:rsidRPr="000E3478">
        <w:rPr>
          <w:i/>
          <w:lang w:val="en-US"/>
        </w:rPr>
        <w:t>Case-studies will be provided by HI Programmes and/or by HI Inclusive Education Specialists.</w:t>
      </w:r>
    </w:p>
    <w:p w14:paraId="5ABC7B02" w14:textId="77777777" w:rsidR="00B67786" w:rsidRPr="00291F2C" w:rsidRDefault="00B67786" w:rsidP="003F66B8">
      <w:pPr>
        <w:spacing w:after="0" w:line="240" w:lineRule="auto"/>
        <w:jc w:val="both"/>
        <w:rPr>
          <w:sz w:val="10"/>
          <w:szCs w:val="10"/>
          <w:lang w:val="en-US"/>
        </w:rPr>
      </w:pPr>
    </w:p>
    <w:p w14:paraId="72C10820" w14:textId="77777777" w:rsidR="00AB116A" w:rsidRDefault="00A365C2" w:rsidP="003F66B8">
      <w:pPr>
        <w:pStyle w:val="Paragraphedeliste"/>
        <w:numPr>
          <w:ilvl w:val="1"/>
          <w:numId w:val="43"/>
        </w:numPr>
        <w:jc w:val="both"/>
        <w:rPr>
          <w:lang w:val="en-US"/>
        </w:rPr>
      </w:pPr>
      <w:r w:rsidRPr="00406982">
        <w:rPr>
          <w:lang w:val="en-US"/>
        </w:rPr>
        <w:t xml:space="preserve">Desk reviews of international donors’ and UN agencies’ strategic documents and instruments, with a view to analyse how the continuity of (education) services is addressed, if the right to education of children with disabilities is taken into consideration, and if intersectional barriers are examined. </w:t>
      </w:r>
    </w:p>
    <w:p w14:paraId="2F3C3260" w14:textId="77777777" w:rsidR="00AB116A" w:rsidRPr="00AB116A" w:rsidRDefault="00AB116A" w:rsidP="003F66B8">
      <w:pPr>
        <w:pStyle w:val="Paragraphedeliste"/>
        <w:ind w:left="643"/>
        <w:jc w:val="both"/>
        <w:rPr>
          <w:sz w:val="10"/>
          <w:szCs w:val="10"/>
          <w:lang w:val="en-US"/>
        </w:rPr>
      </w:pPr>
    </w:p>
    <w:p w14:paraId="6968311D" w14:textId="450984B5" w:rsidR="00B67786" w:rsidRDefault="00A365C2" w:rsidP="003F66B8">
      <w:pPr>
        <w:pStyle w:val="Paragraphedeliste"/>
        <w:numPr>
          <w:ilvl w:val="0"/>
          <w:numId w:val="45"/>
        </w:numPr>
        <w:jc w:val="both"/>
        <w:rPr>
          <w:lang w:val="en-US"/>
        </w:rPr>
      </w:pPr>
      <w:r w:rsidRPr="00406982">
        <w:rPr>
          <w:lang w:val="en-US"/>
        </w:rPr>
        <w:t>In total, five (05) international donors and UN agencies will be under focus: AFD, FCDO, the EU, UNICEF, and Luxembourg.</w:t>
      </w:r>
    </w:p>
    <w:p w14:paraId="5E60FDED" w14:textId="77777777" w:rsidR="00661C97" w:rsidRPr="00291F2C" w:rsidRDefault="00661C97" w:rsidP="00805A70">
      <w:pPr>
        <w:spacing w:after="0" w:line="240" w:lineRule="auto"/>
        <w:rPr>
          <w:sz w:val="10"/>
          <w:szCs w:val="10"/>
          <w:lang w:val="en-US"/>
        </w:rPr>
      </w:pPr>
    </w:p>
    <w:p w14:paraId="7748B044" w14:textId="3167E09B" w:rsidR="00B67786" w:rsidRDefault="00B67786" w:rsidP="003F66B8">
      <w:pPr>
        <w:pStyle w:val="Paragraphedeliste"/>
        <w:numPr>
          <w:ilvl w:val="0"/>
          <w:numId w:val="45"/>
        </w:numPr>
        <w:jc w:val="both"/>
        <w:rPr>
          <w:i/>
          <w:lang w:val="en-US"/>
        </w:rPr>
      </w:pPr>
      <w:r w:rsidRPr="000E3478">
        <w:rPr>
          <w:i/>
          <w:lang w:val="en-US"/>
        </w:rPr>
        <w:t>The desk reviews of international donors’ and UN agencies’ strategic documents and instruments will be carried out by the consultant, with specific elements highlighted by HI AIR and/or HI Programmes.</w:t>
      </w:r>
    </w:p>
    <w:p w14:paraId="792059C5" w14:textId="77777777" w:rsidR="000E3478" w:rsidRPr="000E3478" w:rsidRDefault="000E3478" w:rsidP="003F66B8">
      <w:pPr>
        <w:spacing w:after="0" w:line="240" w:lineRule="auto"/>
        <w:jc w:val="both"/>
        <w:rPr>
          <w:sz w:val="10"/>
          <w:szCs w:val="10"/>
          <w:lang w:val="en-US"/>
        </w:rPr>
      </w:pPr>
    </w:p>
    <w:p w14:paraId="062AFC2A" w14:textId="4A91A948" w:rsidR="00A365C2" w:rsidRDefault="00A365C2" w:rsidP="003F66B8">
      <w:pPr>
        <w:pStyle w:val="Paragraphedeliste"/>
        <w:numPr>
          <w:ilvl w:val="1"/>
          <w:numId w:val="43"/>
        </w:numPr>
        <w:jc w:val="both"/>
        <w:rPr>
          <w:lang w:val="en-US"/>
        </w:rPr>
      </w:pPr>
      <w:r w:rsidRPr="008D6553">
        <w:rPr>
          <w:lang w:val="en-US"/>
        </w:rPr>
        <w:lastRenderedPageBreak/>
        <w:t xml:space="preserve">Desk reviews of Education Sector Plans and/or other strategic documents shaping the education system and the public authorities’ interventions in the three (03) countries under focus. </w:t>
      </w:r>
    </w:p>
    <w:p w14:paraId="51180BEB" w14:textId="77777777" w:rsidR="000E3478" w:rsidRDefault="000E3478" w:rsidP="003F66B8">
      <w:pPr>
        <w:pStyle w:val="Paragraphedeliste"/>
        <w:ind w:left="643"/>
        <w:jc w:val="both"/>
        <w:rPr>
          <w:lang w:val="en-US"/>
        </w:rPr>
      </w:pPr>
    </w:p>
    <w:p w14:paraId="6A8940EB" w14:textId="6C7AE31A" w:rsidR="00B67786" w:rsidRPr="000E3478" w:rsidRDefault="00B67786" w:rsidP="003F66B8">
      <w:pPr>
        <w:pStyle w:val="Paragraphedeliste"/>
        <w:numPr>
          <w:ilvl w:val="0"/>
          <w:numId w:val="45"/>
        </w:numPr>
        <w:jc w:val="both"/>
        <w:rPr>
          <w:i/>
          <w:lang w:val="en-US"/>
        </w:rPr>
      </w:pPr>
      <w:r w:rsidRPr="000E3478">
        <w:rPr>
          <w:i/>
          <w:lang w:val="en-US"/>
        </w:rPr>
        <w:t>The desk reviews of Education Sector Plans (and/or other strategic documents shaping the education system in the countries under focus) will be carried out by the consultant, with specific elements highlighted by HI AIR and/or HI Programmes.</w:t>
      </w:r>
    </w:p>
    <w:p w14:paraId="44BD3B90" w14:textId="77777777" w:rsidR="00B67786" w:rsidRPr="00291F2C" w:rsidRDefault="00B67786" w:rsidP="00805A70">
      <w:pPr>
        <w:spacing w:after="0" w:line="240" w:lineRule="auto"/>
        <w:rPr>
          <w:sz w:val="10"/>
          <w:szCs w:val="10"/>
          <w:lang w:val="en-US"/>
        </w:rPr>
      </w:pPr>
    </w:p>
    <w:p w14:paraId="097B701E" w14:textId="0FE4A30F" w:rsidR="00A365C2" w:rsidRPr="00B67786" w:rsidRDefault="00A365C2" w:rsidP="003F66B8">
      <w:pPr>
        <w:pStyle w:val="Paragraphedeliste"/>
        <w:numPr>
          <w:ilvl w:val="1"/>
          <w:numId w:val="43"/>
        </w:numPr>
        <w:jc w:val="both"/>
        <w:rPr>
          <w:lang w:val="en-US"/>
        </w:rPr>
      </w:pPr>
      <w:r w:rsidRPr="008D6553">
        <w:rPr>
          <w:lang w:val="en-US"/>
        </w:rPr>
        <w:t>Twenty (20) Interviews with key informants: HI staff in the countries under focus;</w:t>
      </w:r>
      <w:r w:rsidR="00406982" w:rsidRPr="008D6553">
        <w:rPr>
          <w:lang w:val="en-US"/>
        </w:rPr>
        <w:t xml:space="preserve"> </w:t>
      </w:r>
      <w:r w:rsidRPr="008D6553">
        <w:rPr>
          <w:lang w:val="en-US"/>
        </w:rPr>
        <w:t xml:space="preserve">local partners and Organisations of Persons with Disabilities; teachers, heads of schools and other education professionals; governmental representatives and/or local authorities; UN agencies’ representatives in the countries under focus and in head-quarters; donors’ representatives in the countries under focus and in head-quarters. </w:t>
      </w:r>
    </w:p>
    <w:p w14:paraId="56878F7D" w14:textId="77777777" w:rsidR="000E3478" w:rsidRPr="000E3478" w:rsidRDefault="000E3478" w:rsidP="003F66B8">
      <w:pPr>
        <w:spacing w:after="0" w:line="240" w:lineRule="auto"/>
        <w:jc w:val="both"/>
        <w:rPr>
          <w:sz w:val="10"/>
          <w:szCs w:val="10"/>
          <w:lang w:val="en-US"/>
        </w:rPr>
      </w:pPr>
    </w:p>
    <w:p w14:paraId="6FB70C61" w14:textId="77777777" w:rsidR="000E3478" w:rsidRDefault="00A365C2" w:rsidP="003F66B8">
      <w:pPr>
        <w:pStyle w:val="Paragraphedeliste"/>
        <w:numPr>
          <w:ilvl w:val="0"/>
          <w:numId w:val="45"/>
        </w:numPr>
        <w:jc w:val="both"/>
        <w:rPr>
          <w:i/>
          <w:lang w:val="en-US"/>
        </w:rPr>
      </w:pPr>
      <w:r w:rsidRPr="000E3478">
        <w:rPr>
          <w:i/>
          <w:lang w:val="en-US"/>
        </w:rPr>
        <w:t>Interviews with key informants will be carried out by the consultant.</w:t>
      </w:r>
    </w:p>
    <w:p w14:paraId="2FCEFAF3" w14:textId="3B89B361" w:rsidR="000E3478" w:rsidRPr="000E3478" w:rsidRDefault="000E3478" w:rsidP="003F66B8">
      <w:pPr>
        <w:spacing w:after="0" w:line="240" w:lineRule="auto"/>
        <w:jc w:val="both"/>
        <w:rPr>
          <w:sz w:val="10"/>
          <w:szCs w:val="10"/>
          <w:lang w:val="en-US"/>
        </w:rPr>
      </w:pPr>
    </w:p>
    <w:p w14:paraId="605C9E39" w14:textId="2240ECF3" w:rsidR="00A365C2" w:rsidRPr="000E3478" w:rsidRDefault="00A365C2" w:rsidP="003F66B8">
      <w:pPr>
        <w:pStyle w:val="Paragraphedeliste"/>
        <w:numPr>
          <w:ilvl w:val="0"/>
          <w:numId w:val="45"/>
        </w:numPr>
        <w:jc w:val="both"/>
        <w:rPr>
          <w:i/>
          <w:lang w:val="en-US"/>
        </w:rPr>
      </w:pPr>
      <w:r w:rsidRPr="000E3478">
        <w:rPr>
          <w:i/>
          <w:lang w:val="en-US"/>
        </w:rPr>
        <w:t>The list of key informants</w:t>
      </w:r>
      <w:r w:rsidR="00C157AB" w:rsidRPr="000E3478">
        <w:rPr>
          <w:i/>
          <w:lang w:val="en-US"/>
        </w:rPr>
        <w:t xml:space="preserve"> and the guiding questions</w:t>
      </w:r>
      <w:r w:rsidRPr="000E3478">
        <w:rPr>
          <w:i/>
          <w:lang w:val="en-US"/>
        </w:rPr>
        <w:t xml:space="preserve"> to be interviewed will be defined by HI</w:t>
      </w:r>
      <w:r w:rsidR="00B67786" w:rsidRPr="000E3478">
        <w:rPr>
          <w:i/>
          <w:lang w:val="en-US"/>
        </w:rPr>
        <w:t>.</w:t>
      </w:r>
    </w:p>
    <w:p w14:paraId="5C2EDFE6" w14:textId="77777777" w:rsidR="00A365C2" w:rsidRPr="00AB116A" w:rsidRDefault="00A365C2" w:rsidP="00805A70">
      <w:pPr>
        <w:spacing w:after="0" w:line="240" w:lineRule="auto"/>
        <w:rPr>
          <w:sz w:val="10"/>
          <w:szCs w:val="10"/>
          <w:lang w:val="en-US"/>
        </w:rPr>
      </w:pPr>
    </w:p>
    <w:p w14:paraId="07032AB9" w14:textId="77777777" w:rsidR="00A305E3" w:rsidRPr="00841C78" w:rsidRDefault="00A305E3" w:rsidP="00805A70">
      <w:pPr>
        <w:spacing w:after="0" w:line="240" w:lineRule="auto"/>
        <w:rPr>
          <w:b/>
          <w:lang w:val="en-US"/>
        </w:rPr>
      </w:pPr>
      <w:r>
        <w:rPr>
          <w:b/>
          <w:lang w:val="en-US"/>
        </w:rPr>
        <w:t>2</w:t>
      </w:r>
      <w:r w:rsidRPr="00841C78">
        <w:rPr>
          <w:b/>
          <w:lang w:val="en-US"/>
        </w:rPr>
        <w:t>-</w:t>
      </w:r>
      <w:r>
        <w:rPr>
          <w:b/>
          <w:lang w:val="en-US"/>
        </w:rPr>
        <w:t>5</w:t>
      </w:r>
      <w:r w:rsidRPr="00841C78">
        <w:rPr>
          <w:b/>
          <w:lang w:val="en-US"/>
        </w:rPr>
        <w:t>- Ethics</w:t>
      </w:r>
    </w:p>
    <w:p w14:paraId="39084661" w14:textId="77777777" w:rsidR="000E3478" w:rsidRPr="000E3478" w:rsidRDefault="000E3478" w:rsidP="00805A70">
      <w:pPr>
        <w:spacing w:after="0" w:line="240" w:lineRule="auto"/>
        <w:rPr>
          <w:sz w:val="10"/>
          <w:szCs w:val="10"/>
          <w:lang w:val="en-US"/>
        </w:rPr>
      </w:pPr>
    </w:p>
    <w:p w14:paraId="3DBC7C4B" w14:textId="3354031D" w:rsidR="0034247F" w:rsidRPr="002B6490" w:rsidRDefault="0034247F" w:rsidP="003F66B8">
      <w:pPr>
        <w:spacing w:after="0" w:line="240" w:lineRule="auto"/>
        <w:jc w:val="both"/>
        <w:rPr>
          <w:lang w:val="en-US"/>
        </w:rPr>
      </w:pPr>
      <w:r w:rsidRPr="002B6490">
        <w:rPr>
          <w:lang w:val="en-US"/>
        </w:rPr>
        <w:t>We will ensure that high ethical and rigorous research standards are maintained, by following HI’s principles for ethical management of data:</w:t>
      </w:r>
    </w:p>
    <w:p w14:paraId="02F90B69" w14:textId="77777777" w:rsidR="0034247F" w:rsidRPr="000E3478" w:rsidRDefault="0034247F" w:rsidP="00805A70">
      <w:pPr>
        <w:spacing w:after="0" w:line="240" w:lineRule="auto"/>
        <w:rPr>
          <w:sz w:val="10"/>
          <w:szCs w:val="10"/>
          <w:lang w:val="en-US"/>
        </w:rPr>
      </w:pPr>
    </w:p>
    <w:p w14:paraId="27377D88" w14:textId="5DD9F6D3" w:rsidR="0034247F" w:rsidRPr="002B6490" w:rsidRDefault="0034247F" w:rsidP="003F66B8">
      <w:pPr>
        <w:pStyle w:val="Paragraphedeliste"/>
        <w:numPr>
          <w:ilvl w:val="0"/>
          <w:numId w:val="22"/>
        </w:numPr>
        <w:jc w:val="both"/>
        <w:rPr>
          <w:lang w:val="en-US"/>
        </w:rPr>
      </w:pPr>
      <w:r w:rsidRPr="002B6490">
        <w:rPr>
          <w:lang w:val="en-US"/>
        </w:rPr>
        <w:t>Ensure a person or community-centered approach;</w:t>
      </w:r>
    </w:p>
    <w:p w14:paraId="16D7A1B4" w14:textId="5791E1CA" w:rsidR="0034247F" w:rsidRPr="002B6490" w:rsidRDefault="0034247F" w:rsidP="003F66B8">
      <w:pPr>
        <w:pStyle w:val="Paragraphedeliste"/>
        <w:numPr>
          <w:ilvl w:val="0"/>
          <w:numId w:val="22"/>
        </w:numPr>
        <w:jc w:val="both"/>
        <w:rPr>
          <w:lang w:val="en-US"/>
        </w:rPr>
      </w:pPr>
      <w:r w:rsidRPr="002B6490">
        <w:rPr>
          <w:lang w:val="en-US"/>
        </w:rPr>
        <w:t>Ensure that the person’s consent is properly collected for every picture and written testimony;</w:t>
      </w:r>
    </w:p>
    <w:p w14:paraId="696331F5" w14:textId="01FFEBE8" w:rsidR="0034247F" w:rsidRPr="002B6490" w:rsidRDefault="0034247F" w:rsidP="003F66B8">
      <w:pPr>
        <w:pStyle w:val="Paragraphedeliste"/>
        <w:numPr>
          <w:ilvl w:val="0"/>
          <w:numId w:val="22"/>
        </w:numPr>
        <w:jc w:val="both"/>
        <w:rPr>
          <w:lang w:val="en-US"/>
        </w:rPr>
      </w:pPr>
      <w:r w:rsidRPr="002B6490">
        <w:rPr>
          <w:lang w:val="en-US"/>
        </w:rPr>
        <w:t>Ensure referral mechanisms are in place;</w:t>
      </w:r>
    </w:p>
    <w:p w14:paraId="1D806D5B" w14:textId="694FDB2E" w:rsidR="0034247F" w:rsidRPr="002B6490" w:rsidRDefault="0034247F" w:rsidP="003F66B8">
      <w:pPr>
        <w:pStyle w:val="Paragraphedeliste"/>
        <w:numPr>
          <w:ilvl w:val="0"/>
          <w:numId w:val="22"/>
        </w:numPr>
        <w:jc w:val="both"/>
        <w:rPr>
          <w:lang w:val="en-US"/>
        </w:rPr>
      </w:pPr>
      <w:r w:rsidRPr="002B6490">
        <w:rPr>
          <w:lang w:val="en-US"/>
        </w:rPr>
        <w:t>Ensure the security of personal and/or sensitive data at all stages of the activity;</w:t>
      </w:r>
    </w:p>
    <w:p w14:paraId="62EFFE5E" w14:textId="56DDE55B" w:rsidR="0034247F" w:rsidRPr="002B6490" w:rsidRDefault="0034247F" w:rsidP="003F66B8">
      <w:pPr>
        <w:pStyle w:val="Paragraphedeliste"/>
        <w:numPr>
          <w:ilvl w:val="0"/>
          <w:numId w:val="22"/>
        </w:numPr>
        <w:jc w:val="both"/>
        <w:rPr>
          <w:lang w:val="en-US"/>
        </w:rPr>
      </w:pPr>
      <w:r w:rsidRPr="002B6490">
        <w:rPr>
          <w:lang w:val="en-US"/>
        </w:rPr>
        <w:t>Respect copyright for pictures, obtain permissions to use pictures, and include information related to the photographers;</w:t>
      </w:r>
    </w:p>
    <w:p w14:paraId="2BFE52D6" w14:textId="3D2EE5FE" w:rsidR="0034247F" w:rsidRPr="002B6490" w:rsidRDefault="0034247F" w:rsidP="003F66B8">
      <w:pPr>
        <w:pStyle w:val="Paragraphedeliste"/>
        <w:numPr>
          <w:ilvl w:val="0"/>
          <w:numId w:val="22"/>
        </w:numPr>
        <w:jc w:val="both"/>
        <w:rPr>
          <w:lang w:val="en-US"/>
        </w:rPr>
      </w:pPr>
      <w:r w:rsidRPr="002B6490">
        <w:rPr>
          <w:lang w:val="en-US"/>
        </w:rPr>
        <w:t>Ensure that the final outputs are never used for commercial purposes;</w:t>
      </w:r>
    </w:p>
    <w:p w14:paraId="56BCAACA" w14:textId="7BE24322" w:rsidR="0034247F" w:rsidRPr="002B6490" w:rsidRDefault="0034247F" w:rsidP="003F66B8">
      <w:pPr>
        <w:pStyle w:val="Paragraphedeliste"/>
        <w:numPr>
          <w:ilvl w:val="0"/>
          <w:numId w:val="22"/>
        </w:numPr>
        <w:jc w:val="both"/>
        <w:rPr>
          <w:lang w:val="en-US"/>
        </w:rPr>
      </w:pPr>
      <w:r w:rsidRPr="002B6490">
        <w:rPr>
          <w:lang w:val="en-US"/>
        </w:rPr>
        <w:t>Ensure the respect of the dignity of beneficiaries portrait in pictures and testimonies;</w:t>
      </w:r>
    </w:p>
    <w:p w14:paraId="1EF0F96D" w14:textId="7E30D006" w:rsidR="0034247F" w:rsidRPr="002B6490" w:rsidRDefault="0034247F" w:rsidP="003F66B8">
      <w:pPr>
        <w:pStyle w:val="Paragraphedeliste"/>
        <w:numPr>
          <w:ilvl w:val="0"/>
          <w:numId w:val="22"/>
        </w:numPr>
        <w:jc w:val="both"/>
        <w:rPr>
          <w:lang w:val="en-US"/>
        </w:rPr>
      </w:pPr>
      <w:r w:rsidRPr="002B6490">
        <w:rPr>
          <w:lang w:val="en-US"/>
        </w:rPr>
        <w:t>Plan and guarantee the use and sharing of information;</w:t>
      </w:r>
    </w:p>
    <w:p w14:paraId="1D9D8F9C" w14:textId="5197D51D" w:rsidR="0034247F" w:rsidRPr="002B6490" w:rsidRDefault="0034247F" w:rsidP="003F66B8">
      <w:pPr>
        <w:pStyle w:val="Paragraphedeliste"/>
        <w:numPr>
          <w:ilvl w:val="0"/>
          <w:numId w:val="22"/>
        </w:numPr>
        <w:jc w:val="both"/>
        <w:rPr>
          <w:lang w:val="en-US"/>
        </w:rPr>
      </w:pPr>
      <w:r w:rsidRPr="002B6490">
        <w:rPr>
          <w:lang w:val="en-US"/>
        </w:rPr>
        <w:t>Carefully provide complete references to external sources used in the text of the publication.</w:t>
      </w:r>
    </w:p>
    <w:p w14:paraId="409B1250" w14:textId="77777777" w:rsidR="0034247F" w:rsidRPr="00AB116A" w:rsidRDefault="0034247F" w:rsidP="00805A70">
      <w:pPr>
        <w:spacing w:after="0" w:line="240" w:lineRule="auto"/>
        <w:rPr>
          <w:b/>
          <w:sz w:val="10"/>
          <w:szCs w:val="10"/>
          <w:highlight w:val="yellow"/>
          <w:lang w:val="en-US"/>
        </w:rPr>
      </w:pPr>
    </w:p>
    <w:p w14:paraId="181A5B36" w14:textId="4C106637" w:rsidR="0034247F" w:rsidRPr="00805A70" w:rsidRDefault="002B6490" w:rsidP="00805A70">
      <w:pPr>
        <w:spacing w:after="0" w:line="240" w:lineRule="auto"/>
        <w:rPr>
          <w:b/>
          <w:lang w:val="en-US"/>
        </w:rPr>
      </w:pPr>
      <w:r w:rsidRPr="00805A70">
        <w:rPr>
          <w:b/>
          <w:lang w:val="en-US"/>
        </w:rPr>
        <w:t xml:space="preserve">Intersectional </w:t>
      </w:r>
      <w:r w:rsidR="0034247F" w:rsidRPr="00805A70">
        <w:rPr>
          <w:b/>
          <w:lang w:val="en-US"/>
        </w:rPr>
        <w:t>approach</w:t>
      </w:r>
    </w:p>
    <w:p w14:paraId="4FC81C39" w14:textId="77777777" w:rsidR="000E3478" w:rsidRPr="000E3478" w:rsidRDefault="000E3478" w:rsidP="00285E4A">
      <w:pPr>
        <w:spacing w:after="0" w:line="240" w:lineRule="auto"/>
        <w:rPr>
          <w:sz w:val="10"/>
          <w:szCs w:val="10"/>
          <w:lang w:val="en-US"/>
        </w:rPr>
      </w:pPr>
    </w:p>
    <w:p w14:paraId="047B548F" w14:textId="24403F46" w:rsidR="002B6490" w:rsidRPr="00805A70" w:rsidRDefault="002B6490" w:rsidP="003F66B8">
      <w:pPr>
        <w:spacing w:after="0" w:line="240" w:lineRule="auto"/>
        <w:jc w:val="both"/>
        <w:rPr>
          <w:lang w:val="en-US"/>
        </w:rPr>
      </w:pPr>
      <w:r w:rsidRPr="00805A70">
        <w:rPr>
          <w:lang w:val="en-US"/>
        </w:rPr>
        <w:t xml:space="preserve">The ethical principle of non-discrimination is at the very heart of HI’s engagement alongside persons with disabilities and in support of equal opportunities and equal access to services for all. In line with HI’s Disability, Gender and Age internal policy, we fully recognise the importance of applying a systematic attention to disability, gender and age in particular. </w:t>
      </w:r>
    </w:p>
    <w:p w14:paraId="1D5E5777" w14:textId="77777777" w:rsidR="00AB116A" w:rsidRPr="00AB116A" w:rsidRDefault="00AB116A" w:rsidP="003F66B8">
      <w:pPr>
        <w:spacing w:after="0" w:line="240" w:lineRule="auto"/>
        <w:jc w:val="both"/>
        <w:rPr>
          <w:sz w:val="10"/>
          <w:szCs w:val="10"/>
          <w:lang w:val="en-US"/>
        </w:rPr>
      </w:pPr>
    </w:p>
    <w:p w14:paraId="3FB77AB0" w14:textId="60D9C4C3" w:rsidR="0034247F" w:rsidRPr="00805A70" w:rsidRDefault="002B6490" w:rsidP="003F66B8">
      <w:pPr>
        <w:spacing w:after="0" w:line="240" w:lineRule="auto"/>
        <w:jc w:val="both"/>
        <w:rPr>
          <w:lang w:val="en-US"/>
        </w:rPr>
      </w:pPr>
      <w:r w:rsidRPr="00805A70">
        <w:rPr>
          <w:lang w:val="en-US"/>
        </w:rPr>
        <w:t>We also aspire to convey the complexity of discrimination faced by people affected by the issues we advocate on. We do so by looking into how disability intersects with other factors of discrimination and exclusion – including race and ethnicity</w:t>
      </w:r>
      <w:r w:rsidR="0034247F" w:rsidRPr="00805A70">
        <w:rPr>
          <w:lang w:val="en-US"/>
        </w:rPr>
        <w:t>, highlighting the intersecting forms of discriminations, and barriers in the access to services by persons with disabilities.</w:t>
      </w:r>
    </w:p>
    <w:p w14:paraId="3AE15673" w14:textId="77777777" w:rsidR="000E3478" w:rsidRPr="00271674" w:rsidRDefault="000E3478" w:rsidP="003F66B8">
      <w:pPr>
        <w:spacing w:after="0" w:line="240" w:lineRule="auto"/>
        <w:jc w:val="both"/>
        <w:rPr>
          <w:i/>
          <w:sz w:val="10"/>
          <w:szCs w:val="10"/>
          <w:lang w:val="en-US"/>
        </w:rPr>
      </w:pPr>
    </w:p>
    <w:p w14:paraId="4B074420" w14:textId="77777777" w:rsidR="00AB116A" w:rsidRDefault="00E13FBA" w:rsidP="003F66B8">
      <w:pPr>
        <w:spacing w:after="0" w:line="240" w:lineRule="auto"/>
        <w:jc w:val="both"/>
        <w:rPr>
          <w:i/>
          <w:lang w:val="en-US"/>
        </w:rPr>
      </w:pPr>
      <w:r w:rsidRPr="00805A70">
        <w:rPr>
          <w:i/>
          <w:lang w:val="en-US"/>
        </w:rPr>
        <w:t>Applicants are therefore required to mention how they will ensure that the findings and analysis will address the intersecting factors of discrimination and exclusion related to disability, age, gender, race and ethnicity.</w:t>
      </w:r>
    </w:p>
    <w:p w14:paraId="322AB1C0" w14:textId="77777777" w:rsidR="003F66B8" w:rsidRDefault="003F66B8" w:rsidP="003F66B8">
      <w:pPr>
        <w:spacing w:after="0" w:line="240" w:lineRule="auto"/>
        <w:jc w:val="both"/>
        <w:rPr>
          <w:i/>
          <w:lang w:val="en-US"/>
        </w:rPr>
      </w:pPr>
    </w:p>
    <w:p w14:paraId="2A7B4596" w14:textId="77777777" w:rsidR="00AB116A" w:rsidRPr="00AB116A" w:rsidRDefault="00AB116A" w:rsidP="00805A70">
      <w:pPr>
        <w:spacing w:after="0" w:line="240" w:lineRule="auto"/>
        <w:rPr>
          <w:i/>
          <w:sz w:val="10"/>
          <w:szCs w:val="10"/>
          <w:lang w:val="en-US"/>
        </w:rPr>
      </w:pPr>
    </w:p>
    <w:p w14:paraId="73DA4E9A" w14:textId="7BF313D2" w:rsidR="00A305E3" w:rsidRPr="000E7961" w:rsidRDefault="00A305E3" w:rsidP="00805A70">
      <w:pPr>
        <w:pStyle w:val="Titre2"/>
        <w:numPr>
          <w:ilvl w:val="0"/>
          <w:numId w:val="19"/>
        </w:numPr>
        <w:spacing w:before="0" w:line="240" w:lineRule="auto"/>
      </w:pPr>
      <w:r w:rsidRPr="000E7961">
        <w:lastRenderedPageBreak/>
        <w:t>Presentation of the service</w:t>
      </w:r>
    </w:p>
    <w:p w14:paraId="19064D01" w14:textId="77777777" w:rsidR="00A305E3" w:rsidRPr="00AB116A" w:rsidRDefault="00A305E3" w:rsidP="00805A70">
      <w:pPr>
        <w:spacing w:after="0" w:line="240" w:lineRule="auto"/>
        <w:rPr>
          <w:i/>
          <w:sz w:val="10"/>
          <w:szCs w:val="10"/>
          <w:lang w:val="en-US"/>
        </w:rPr>
      </w:pPr>
    </w:p>
    <w:p w14:paraId="21C4D7F0" w14:textId="77777777" w:rsidR="00A305E3" w:rsidRPr="004F2DDD" w:rsidRDefault="00A305E3" w:rsidP="00805A70">
      <w:pPr>
        <w:spacing w:after="0" w:line="240" w:lineRule="auto"/>
        <w:rPr>
          <w:b/>
          <w:lang w:val="en-US"/>
        </w:rPr>
      </w:pPr>
      <w:r w:rsidRPr="004F2DDD">
        <w:rPr>
          <w:b/>
          <w:lang w:val="en-US"/>
        </w:rPr>
        <w:t>3-1- Overall objective of the consultancy service</w:t>
      </w:r>
    </w:p>
    <w:p w14:paraId="7523F33F" w14:textId="08DB9A09" w:rsidR="00A305E3" w:rsidRPr="00AB116A" w:rsidRDefault="00A305E3" w:rsidP="00805A70">
      <w:pPr>
        <w:spacing w:after="0" w:line="240" w:lineRule="auto"/>
        <w:rPr>
          <w:sz w:val="10"/>
          <w:szCs w:val="10"/>
          <w:lang w:val="en-US"/>
        </w:rPr>
      </w:pPr>
    </w:p>
    <w:p w14:paraId="6BB0FE5E" w14:textId="7BC95C85" w:rsidR="0034247F" w:rsidRDefault="0034247F" w:rsidP="003F66B8">
      <w:pPr>
        <w:spacing w:after="0" w:line="240" w:lineRule="auto"/>
        <w:jc w:val="both"/>
        <w:rPr>
          <w:lang w:val="en-US"/>
        </w:rPr>
      </w:pPr>
      <w:r w:rsidRPr="00805A70">
        <w:rPr>
          <w:lang w:val="en-US"/>
        </w:rPr>
        <w:t xml:space="preserve">The Consultant will deliver </w:t>
      </w:r>
      <w:r w:rsidRPr="00805A70">
        <w:rPr>
          <w:b/>
          <w:lang w:val="en-US"/>
        </w:rPr>
        <w:t xml:space="preserve">a </w:t>
      </w:r>
      <w:r w:rsidR="002B6490" w:rsidRPr="00805A70">
        <w:rPr>
          <w:b/>
          <w:lang w:val="en-US"/>
        </w:rPr>
        <w:t>report</w:t>
      </w:r>
      <w:r w:rsidRPr="00805A70">
        <w:rPr>
          <w:b/>
          <w:lang w:val="en-US"/>
        </w:rPr>
        <w:t xml:space="preserve"> (in </w:t>
      </w:r>
      <w:r w:rsidR="002B6490" w:rsidRPr="00805A70">
        <w:rPr>
          <w:b/>
          <w:lang w:val="en-US"/>
        </w:rPr>
        <w:t>Eng</w:t>
      </w:r>
      <w:r w:rsidR="00E13FBA" w:rsidRPr="00805A70">
        <w:rPr>
          <w:b/>
          <w:lang w:val="en-US"/>
        </w:rPr>
        <w:t>l</w:t>
      </w:r>
      <w:r w:rsidR="002B6490" w:rsidRPr="00805A70">
        <w:rPr>
          <w:b/>
          <w:lang w:val="en-US"/>
        </w:rPr>
        <w:t>ish</w:t>
      </w:r>
      <w:r w:rsidRPr="00805A70">
        <w:rPr>
          <w:b/>
          <w:lang w:val="en-US"/>
        </w:rPr>
        <w:t>)</w:t>
      </w:r>
      <w:r w:rsidRPr="00805A70">
        <w:rPr>
          <w:lang w:val="en-US"/>
        </w:rPr>
        <w:t xml:space="preserve">, based on the </w:t>
      </w:r>
      <w:r w:rsidR="002B6490" w:rsidRPr="00805A70">
        <w:rPr>
          <w:lang w:val="en-US"/>
        </w:rPr>
        <w:t>testimonies, case studies, desk reviews and interviews.</w:t>
      </w:r>
    </w:p>
    <w:p w14:paraId="2ED56511" w14:textId="77777777" w:rsidR="0034247F" w:rsidRPr="00AB116A" w:rsidRDefault="0034247F" w:rsidP="00805A70">
      <w:pPr>
        <w:spacing w:after="0" w:line="240" w:lineRule="auto"/>
        <w:rPr>
          <w:sz w:val="10"/>
          <w:szCs w:val="10"/>
          <w:lang w:val="en-US"/>
        </w:rPr>
      </w:pPr>
    </w:p>
    <w:p w14:paraId="7F379F95" w14:textId="36EB934D" w:rsidR="00A305E3" w:rsidRDefault="00A305E3" w:rsidP="00805A70">
      <w:pPr>
        <w:spacing w:after="0" w:line="240" w:lineRule="auto"/>
        <w:rPr>
          <w:b/>
          <w:lang w:val="en-US"/>
        </w:rPr>
      </w:pPr>
      <w:r w:rsidRPr="004F2DDD">
        <w:rPr>
          <w:b/>
          <w:lang w:val="en-US"/>
        </w:rPr>
        <w:t>3-2- Expected results of the service</w:t>
      </w:r>
    </w:p>
    <w:p w14:paraId="067ECC77" w14:textId="7760DBFE" w:rsidR="0034247F" w:rsidRPr="00805A70" w:rsidRDefault="0034247F" w:rsidP="00805A70">
      <w:pPr>
        <w:spacing w:after="0" w:line="240" w:lineRule="auto"/>
        <w:rPr>
          <w:lang w:val="en-US"/>
        </w:rPr>
      </w:pPr>
      <w:r w:rsidRPr="00805A70">
        <w:rPr>
          <w:lang w:val="en-US"/>
        </w:rPr>
        <w:t xml:space="preserve">The </w:t>
      </w:r>
      <w:r w:rsidR="00B67786" w:rsidRPr="00805A70">
        <w:rPr>
          <w:lang w:val="en-US"/>
        </w:rPr>
        <w:t>Consultant is expected to deliver the following:</w:t>
      </w:r>
    </w:p>
    <w:p w14:paraId="454414A1" w14:textId="77777777" w:rsidR="0034247F" w:rsidRPr="00291F2C" w:rsidRDefault="0034247F" w:rsidP="00805A70">
      <w:pPr>
        <w:spacing w:after="0" w:line="240" w:lineRule="auto"/>
        <w:rPr>
          <w:bCs/>
          <w:sz w:val="10"/>
          <w:szCs w:val="10"/>
          <w:lang w:val="en-US"/>
        </w:rPr>
      </w:pPr>
    </w:p>
    <w:p w14:paraId="7EFE5352" w14:textId="1C703A30" w:rsidR="00811183" w:rsidRPr="00805A70" w:rsidRDefault="00811183" w:rsidP="00291F2C">
      <w:pPr>
        <w:spacing w:after="0" w:line="240" w:lineRule="auto"/>
        <w:ind w:firstLine="708"/>
        <w:rPr>
          <w:i/>
          <w:lang w:val="en-US"/>
        </w:rPr>
      </w:pPr>
      <w:r w:rsidRPr="00805A70">
        <w:rPr>
          <w:i/>
          <w:lang w:val="en-US"/>
        </w:rPr>
        <w:t xml:space="preserve">(1) A </w:t>
      </w:r>
      <w:r w:rsidR="00E13FBA" w:rsidRPr="00805A70">
        <w:rPr>
          <w:i/>
          <w:lang w:val="en-US"/>
        </w:rPr>
        <w:t xml:space="preserve">finalized </w:t>
      </w:r>
      <w:r w:rsidRPr="00805A70">
        <w:rPr>
          <w:i/>
          <w:lang w:val="en-US"/>
        </w:rPr>
        <w:t xml:space="preserve">written </w:t>
      </w:r>
      <w:r w:rsidR="00464C17" w:rsidRPr="00805A70">
        <w:rPr>
          <w:i/>
          <w:lang w:val="en-US"/>
        </w:rPr>
        <w:t>methodological proposal</w:t>
      </w:r>
      <w:r w:rsidRPr="00805A70">
        <w:rPr>
          <w:i/>
          <w:lang w:val="en-US"/>
        </w:rPr>
        <w:t xml:space="preserve">. </w:t>
      </w:r>
    </w:p>
    <w:p w14:paraId="3D025356" w14:textId="77777777" w:rsidR="00661C97" w:rsidRPr="00291F2C" w:rsidRDefault="00661C97" w:rsidP="00805A70">
      <w:pPr>
        <w:shd w:val="clear" w:color="auto" w:fill="FFFFFF" w:themeFill="background1"/>
        <w:spacing w:after="0" w:line="240" w:lineRule="auto"/>
        <w:rPr>
          <w:sz w:val="10"/>
          <w:szCs w:val="10"/>
          <w:lang w:val="en-US"/>
        </w:rPr>
      </w:pPr>
    </w:p>
    <w:p w14:paraId="71F8067F" w14:textId="3FD7D62E" w:rsidR="00661C97" w:rsidRDefault="00811183" w:rsidP="003F66B8">
      <w:pPr>
        <w:shd w:val="clear" w:color="auto" w:fill="FFFFFF" w:themeFill="background1"/>
        <w:spacing w:after="0" w:line="240" w:lineRule="auto"/>
        <w:jc w:val="both"/>
        <w:rPr>
          <w:lang w:val="en-US"/>
        </w:rPr>
      </w:pPr>
      <w:r w:rsidRPr="00805A70">
        <w:rPr>
          <w:lang w:val="en-US"/>
        </w:rPr>
        <w:t>Based on the terms of reference provided by HI</w:t>
      </w:r>
      <w:r w:rsidR="00E13FBA" w:rsidRPr="00805A70">
        <w:rPr>
          <w:lang w:val="en-US"/>
        </w:rPr>
        <w:t xml:space="preserve"> and </w:t>
      </w:r>
      <w:r w:rsidRPr="00805A70">
        <w:rPr>
          <w:lang w:val="en-US"/>
        </w:rPr>
        <w:t xml:space="preserve">the technical proposal of the consultant, a </w:t>
      </w:r>
      <w:r w:rsidR="000766CA" w:rsidRPr="00805A70">
        <w:rPr>
          <w:lang w:val="en-US"/>
        </w:rPr>
        <w:t>methodological proposition</w:t>
      </w:r>
      <w:r w:rsidRPr="00805A70">
        <w:rPr>
          <w:lang w:val="en-US"/>
        </w:rPr>
        <w:t xml:space="preserve"> is finalised.</w:t>
      </w:r>
    </w:p>
    <w:p w14:paraId="24583797" w14:textId="77777777" w:rsidR="00661C97" w:rsidRPr="00291F2C" w:rsidRDefault="00661C97" w:rsidP="003F66B8">
      <w:pPr>
        <w:shd w:val="clear" w:color="auto" w:fill="FFFFFF" w:themeFill="background1"/>
        <w:spacing w:after="0" w:line="240" w:lineRule="auto"/>
        <w:jc w:val="both"/>
        <w:rPr>
          <w:sz w:val="10"/>
          <w:szCs w:val="10"/>
          <w:lang w:val="en-US"/>
        </w:rPr>
      </w:pPr>
    </w:p>
    <w:p w14:paraId="4FADB3E5" w14:textId="32DB5BA9" w:rsidR="00661C97" w:rsidRDefault="00811183" w:rsidP="003F66B8">
      <w:pPr>
        <w:shd w:val="clear" w:color="auto" w:fill="FFFFFF" w:themeFill="background1"/>
        <w:spacing w:after="0" w:line="240" w:lineRule="auto"/>
        <w:jc w:val="both"/>
        <w:rPr>
          <w:lang w:val="en-US"/>
        </w:rPr>
      </w:pPr>
      <w:r w:rsidRPr="00805A70">
        <w:rPr>
          <w:lang w:val="en-US"/>
        </w:rPr>
        <w:t xml:space="preserve">This document provides the key elements of the study’s implementation and contains, a minima: an introduction specifying the study/research context; presentation of the objectives </w:t>
      </w:r>
      <w:r w:rsidR="000766CA" w:rsidRPr="00805A70">
        <w:rPr>
          <w:lang w:val="en-US"/>
        </w:rPr>
        <w:t>as agreed between the consultant and HI</w:t>
      </w:r>
      <w:r w:rsidRPr="00805A70">
        <w:rPr>
          <w:lang w:val="en-US"/>
        </w:rPr>
        <w:t>; presentation of the detailed methodological framework: study design</w:t>
      </w:r>
      <w:r w:rsidR="000766CA" w:rsidRPr="00805A70">
        <w:rPr>
          <w:lang w:val="en-US"/>
        </w:rPr>
        <w:t xml:space="preserve"> for the desk review</w:t>
      </w:r>
      <w:r w:rsidRPr="00805A70">
        <w:rPr>
          <w:lang w:val="en-US"/>
        </w:rPr>
        <w:t>, selection of participants</w:t>
      </w:r>
      <w:r w:rsidR="000766CA" w:rsidRPr="00805A70">
        <w:rPr>
          <w:lang w:val="en-US"/>
        </w:rPr>
        <w:t xml:space="preserve"> for interviews</w:t>
      </w:r>
      <w:r w:rsidR="00F541A0" w:rsidRPr="005A0C06">
        <w:rPr>
          <w:lang w:val="en-US"/>
        </w:rPr>
        <w:t xml:space="preserve"> based on an initial list provided by HI</w:t>
      </w:r>
      <w:r w:rsidRPr="00805A70">
        <w:rPr>
          <w:lang w:val="en-US"/>
        </w:rPr>
        <w:t xml:space="preserve">, </w:t>
      </w:r>
      <w:r w:rsidR="00C157AB" w:rsidRPr="00805A70">
        <w:rPr>
          <w:lang w:val="en-US"/>
        </w:rPr>
        <w:t xml:space="preserve">evidence </w:t>
      </w:r>
      <w:r w:rsidRPr="00805A70">
        <w:rPr>
          <w:lang w:val="en-US"/>
        </w:rPr>
        <w:t>collection</w:t>
      </w:r>
      <w:r w:rsidR="000766CA" w:rsidRPr="00805A70">
        <w:rPr>
          <w:lang w:val="en-US"/>
        </w:rPr>
        <w:t>,</w:t>
      </w:r>
      <w:r w:rsidRPr="00805A70">
        <w:rPr>
          <w:lang w:val="en-US"/>
        </w:rPr>
        <w:t xml:space="preserve"> proce</w:t>
      </w:r>
      <w:r w:rsidR="000766CA" w:rsidRPr="00805A70">
        <w:rPr>
          <w:lang w:val="en-US"/>
        </w:rPr>
        <w:t xml:space="preserve">ssing and </w:t>
      </w:r>
      <w:r w:rsidRPr="00805A70">
        <w:rPr>
          <w:lang w:val="en-US"/>
        </w:rPr>
        <w:t xml:space="preserve">analysis; responsibilities of the </w:t>
      </w:r>
      <w:r w:rsidR="000766CA" w:rsidRPr="00805A70">
        <w:rPr>
          <w:lang w:val="en-US"/>
        </w:rPr>
        <w:t xml:space="preserve">consultant </w:t>
      </w:r>
      <w:r w:rsidRPr="00805A70">
        <w:rPr>
          <w:lang w:val="en-US"/>
        </w:rPr>
        <w:t xml:space="preserve">and of HI; timeline; </w:t>
      </w:r>
      <w:r w:rsidR="00835312" w:rsidRPr="00805A70">
        <w:rPr>
          <w:lang w:val="en-US"/>
        </w:rPr>
        <w:t>budget; ethical considerations.</w:t>
      </w:r>
      <w:r w:rsidR="000766CA" w:rsidRPr="00805A70">
        <w:rPr>
          <w:lang w:val="en-US"/>
        </w:rPr>
        <w:t xml:space="preserve"> </w:t>
      </w:r>
    </w:p>
    <w:p w14:paraId="608D5CED" w14:textId="77777777" w:rsidR="00661C97" w:rsidRPr="00291F2C" w:rsidRDefault="00661C97" w:rsidP="003F66B8">
      <w:pPr>
        <w:shd w:val="clear" w:color="auto" w:fill="FFFFFF" w:themeFill="background1"/>
        <w:spacing w:after="0" w:line="240" w:lineRule="auto"/>
        <w:jc w:val="both"/>
        <w:rPr>
          <w:sz w:val="10"/>
          <w:szCs w:val="10"/>
          <w:lang w:val="en-US"/>
        </w:rPr>
      </w:pPr>
    </w:p>
    <w:p w14:paraId="181DA9D2" w14:textId="5E60CA03" w:rsidR="00811183" w:rsidRPr="00805A70" w:rsidRDefault="000766CA" w:rsidP="003F66B8">
      <w:pPr>
        <w:shd w:val="clear" w:color="auto" w:fill="FFFFFF" w:themeFill="background1"/>
        <w:spacing w:after="0" w:line="240" w:lineRule="auto"/>
        <w:jc w:val="both"/>
        <w:rPr>
          <w:lang w:val="en-US"/>
        </w:rPr>
      </w:pPr>
      <w:r w:rsidRPr="00805A70">
        <w:rPr>
          <w:lang w:val="en-US"/>
        </w:rPr>
        <w:t>The document should explicitly mention how intersecting factors of discrimination and exclusion (disability, age, gender, race and ethnicity) will be mainstreamed at each stageof the proposed methodology.</w:t>
      </w:r>
    </w:p>
    <w:p w14:paraId="5B4D5909" w14:textId="77777777" w:rsidR="00E13FBA" w:rsidRPr="00291F2C" w:rsidRDefault="00E13FBA" w:rsidP="00805A70">
      <w:pPr>
        <w:shd w:val="clear" w:color="auto" w:fill="FFFFFF" w:themeFill="background1"/>
        <w:spacing w:after="0" w:line="240" w:lineRule="auto"/>
        <w:rPr>
          <w:sz w:val="10"/>
          <w:szCs w:val="10"/>
          <w:lang w:val="en-US"/>
        </w:rPr>
      </w:pPr>
    </w:p>
    <w:p w14:paraId="108F6211" w14:textId="7C45EF46" w:rsidR="00E13FBA" w:rsidRPr="00805A70" w:rsidRDefault="00811183" w:rsidP="00291F2C">
      <w:pPr>
        <w:shd w:val="clear" w:color="auto" w:fill="FFFFFF" w:themeFill="background1"/>
        <w:spacing w:after="0" w:line="240" w:lineRule="auto"/>
        <w:ind w:firstLine="708"/>
        <w:rPr>
          <w:i/>
          <w:lang w:val="en-US"/>
        </w:rPr>
      </w:pPr>
      <w:r w:rsidRPr="00805A70">
        <w:rPr>
          <w:i/>
          <w:lang w:val="en-US"/>
        </w:rPr>
        <w:t xml:space="preserve">(2) </w:t>
      </w:r>
      <w:r w:rsidR="00E13FBA" w:rsidRPr="00805A70">
        <w:rPr>
          <w:i/>
          <w:lang w:val="en-US"/>
        </w:rPr>
        <w:t xml:space="preserve">A </w:t>
      </w:r>
      <w:r w:rsidR="000766CA" w:rsidRPr="00805A70">
        <w:rPr>
          <w:i/>
          <w:lang w:val="en-US"/>
        </w:rPr>
        <w:t xml:space="preserve">summary of the findings from the </w:t>
      </w:r>
      <w:r w:rsidR="00E13FBA" w:rsidRPr="00805A70">
        <w:rPr>
          <w:i/>
          <w:lang w:val="en-US"/>
        </w:rPr>
        <w:t>desk review of:</w:t>
      </w:r>
    </w:p>
    <w:p w14:paraId="010B0676" w14:textId="77777777" w:rsidR="00661C97" w:rsidRPr="00291F2C" w:rsidRDefault="00661C97" w:rsidP="00805A70">
      <w:pPr>
        <w:shd w:val="clear" w:color="auto" w:fill="FFFFFF" w:themeFill="background1"/>
        <w:spacing w:after="0" w:line="240" w:lineRule="auto"/>
        <w:rPr>
          <w:sz w:val="10"/>
          <w:szCs w:val="10"/>
          <w:lang w:val="en-US"/>
        </w:rPr>
      </w:pPr>
    </w:p>
    <w:p w14:paraId="7E59E444" w14:textId="16060C1A" w:rsidR="004B2CD5" w:rsidRPr="00805A70" w:rsidRDefault="00E13FBA" w:rsidP="003F66B8">
      <w:pPr>
        <w:shd w:val="clear" w:color="auto" w:fill="FFFFFF" w:themeFill="background1"/>
        <w:spacing w:after="0" w:line="240" w:lineRule="auto"/>
        <w:jc w:val="both"/>
        <w:rPr>
          <w:lang w:val="en-US"/>
        </w:rPr>
      </w:pPr>
      <w:r w:rsidRPr="00805A70">
        <w:rPr>
          <w:lang w:val="en-US"/>
        </w:rPr>
        <w:t xml:space="preserve">- </w:t>
      </w:r>
      <w:r w:rsidR="007C288B" w:rsidRPr="00805A70">
        <w:rPr>
          <w:lang w:val="en-US"/>
        </w:rPr>
        <w:t>T</w:t>
      </w:r>
      <w:r w:rsidR="004B2CD5" w:rsidRPr="00805A70">
        <w:rPr>
          <w:lang w:val="en-US"/>
        </w:rPr>
        <w:t>estimonies</w:t>
      </w:r>
      <w:r w:rsidR="007C288B" w:rsidRPr="00805A70">
        <w:rPr>
          <w:lang w:val="en-US"/>
        </w:rPr>
        <w:t xml:space="preserve"> and </w:t>
      </w:r>
      <w:r w:rsidR="004B2CD5" w:rsidRPr="00805A70">
        <w:rPr>
          <w:lang w:val="en-US"/>
        </w:rPr>
        <w:t>case-studies (provided by HI).</w:t>
      </w:r>
    </w:p>
    <w:p w14:paraId="31A53C13" w14:textId="7A8C1F2A" w:rsidR="004B2CD5" w:rsidRPr="00805A70" w:rsidRDefault="004B2CD5" w:rsidP="003F66B8">
      <w:pPr>
        <w:shd w:val="clear" w:color="auto" w:fill="FFFFFF" w:themeFill="background1"/>
        <w:spacing w:after="0" w:line="240" w:lineRule="auto"/>
        <w:jc w:val="both"/>
        <w:rPr>
          <w:lang w:val="en-US"/>
        </w:rPr>
      </w:pPr>
      <w:r w:rsidRPr="00805A70">
        <w:rPr>
          <w:lang w:val="en-US"/>
        </w:rPr>
        <w:t>- Education Sector Plans (and/or other strategic documents shaping the education system in the countries under focus) in Madagascar, Palestine and Burkina Faso.</w:t>
      </w:r>
    </w:p>
    <w:p w14:paraId="53B774AB" w14:textId="618A6365" w:rsidR="00E13FBA" w:rsidRPr="00805A70" w:rsidRDefault="004B2CD5" w:rsidP="003F66B8">
      <w:pPr>
        <w:shd w:val="clear" w:color="auto" w:fill="FFFFFF" w:themeFill="background1"/>
        <w:spacing w:after="0" w:line="240" w:lineRule="auto"/>
        <w:jc w:val="both"/>
        <w:rPr>
          <w:lang w:val="en-US"/>
        </w:rPr>
      </w:pPr>
      <w:r w:rsidRPr="00805A70">
        <w:rPr>
          <w:lang w:val="en-US"/>
        </w:rPr>
        <w:t xml:space="preserve">- </w:t>
      </w:r>
      <w:r w:rsidR="000766CA" w:rsidRPr="00805A70">
        <w:rPr>
          <w:lang w:val="en-US"/>
        </w:rPr>
        <w:t>I</w:t>
      </w:r>
      <w:r w:rsidR="00E13FBA" w:rsidRPr="00805A70">
        <w:rPr>
          <w:lang w:val="en-US"/>
        </w:rPr>
        <w:t>nternational donors’ and UN agencies’ strategic documents and instruments.</w:t>
      </w:r>
    </w:p>
    <w:p w14:paraId="2CE4EF80" w14:textId="77777777" w:rsidR="00661C97" w:rsidRPr="00291F2C" w:rsidRDefault="00661C97" w:rsidP="003F66B8">
      <w:pPr>
        <w:shd w:val="clear" w:color="auto" w:fill="FFFFFF" w:themeFill="background1"/>
        <w:spacing w:after="0" w:line="240" w:lineRule="auto"/>
        <w:jc w:val="both"/>
        <w:rPr>
          <w:sz w:val="10"/>
          <w:szCs w:val="10"/>
          <w:lang w:val="en-US"/>
        </w:rPr>
      </w:pPr>
    </w:p>
    <w:p w14:paraId="52EF8A1C" w14:textId="60DD8284" w:rsidR="000766CA" w:rsidRPr="00805A70" w:rsidRDefault="000766CA" w:rsidP="003F66B8">
      <w:pPr>
        <w:shd w:val="clear" w:color="auto" w:fill="FFFFFF" w:themeFill="background1"/>
        <w:spacing w:after="0" w:line="240" w:lineRule="auto"/>
        <w:jc w:val="both"/>
        <w:rPr>
          <w:lang w:val="en-US"/>
        </w:rPr>
      </w:pPr>
      <w:r w:rsidRPr="00805A70">
        <w:rPr>
          <w:lang w:val="en-US"/>
        </w:rPr>
        <w:t xml:space="preserve">The consultant will review documents </w:t>
      </w:r>
      <w:r w:rsidR="00B67786" w:rsidRPr="00805A70">
        <w:rPr>
          <w:lang w:val="en-US"/>
        </w:rPr>
        <w:t xml:space="preserve">provided by HI </w:t>
      </w:r>
      <w:r w:rsidRPr="00805A70">
        <w:rPr>
          <w:lang w:val="en-US"/>
        </w:rPr>
        <w:t xml:space="preserve">and search for secondary literature </w:t>
      </w:r>
      <w:r w:rsidR="00B67786" w:rsidRPr="00805A70">
        <w:rPr>
          <w:lang w:val="en-US"/>
        </w:rPr>
        <w:t xml:space="preserve">and other documents </w:t>
      </w:r>
      <w:r w:rsidRPr="00805A70">
        <w:rPr>
          <w:lang w:val="en-US"/>
        </w:rPr>
        <w:t xml:space="preserve">related to the </w:t>
      </w:r>
      <w:r w:rsidR="00B67786" w:rsidRPr="00805A70">
        <w:rPr>
          <w:lang w:val="en-US"/>
        </w:rPr>
        <w:t>topic</w:t>
      </w:r>
      <w:r w:rsidR="007C288B" w:rsidRPr="00805A70">
        <w:rPr>
          <w:lang w:val="en-US"/>
        </w:rPr>
        <w:t xml:space="preserve"> if needed</w:t>
      </w:r>
      <w:r w:rsidRPr="00805A70">
        <w:rPr>
          <w:lang w:val="en-US"/>
        </w:rPr>
        <w:t xml:space="preserve">. </w:t>
      </w:r>
      <w:r w:rsidR="00B67786" w:rsidRPr="00805A70">
        <w:rPr>
          <w:lang w:val="en-US"/>
        </w:rPr>
        <w:t>The findings from the desk review should also inform the qualitative interviews conducted with the key informants. While the desk review findings should be submitted early in the process, the consultant</w:t>
      </w:r>
      <w:r w:rsidRPr="00805A70">
        <w:rPr>
          <w:lang w:val="en-US"/>
        </w:rPr>
        <w:t xml:space="preserve"> will continue the desk review throughout the</w:t>
      </w:r>
      <w:r w:rsidR="00B67786" w:rsidRPr="00805A70">
        <w:rPr>
          <w:lang w:val="en-US"/>
        </w:rPr>
        <w:t xml:space="preserve"> project, as new material may emerge from interviews.</w:t>
      </w:r>
      <w:r w:rsidRPr="00805A70">
        <w:rPr>
          <w:lang w:val="en-US"/>
        </w:rPr>
        <w:t xml:space="preserve"> </w:t>
      </w:r>
    </w:p>
    <w:p w14:paraId="02FD9E4E" w14:textId="77777777" w:rsidR="00E13FBA" w:rsidRPr="00291F2C" w:rsidRDefault="00E13FBA" w:rsidP="00805A70">
      <w:pPr>
        <w:spacing w:after="0" w:line="240" w:lineRule="auto"/>
        <w:rPr>
          <w:sz w:val="10"/>
          <w:szCs w:val="10"/>
          <w:lang w:val="en-US"/>
        </w:rPr>
      </w:pPr>
    </w:p>
    <w:p w14:paraId="0553F353" w14:textId="77777777" w:rsidR="002F609E" w:rsidRPr="00805A70" w:rsidRDefault="00E13FBA" w:rsidP="003F66B8">
      <w:pPr>
        <w:spacing w:after="0" w:line="240" w:lineRule="auto"/>
        <w:ind w:firstLine="708"/>
        <w:jc w:val="both"/>
        <w:rPr>
          <w:i/>
          <w:lang w:val="en-US"/>
        </w:rPr>
      </w:pPr>
      <w:r w:rsidRPr="00805A70">
        <w:rPr>
          <w:i/>
          <w:lang w:val="en-US"/>
        </w:rPr>
        <w:t xml:space="preserve">(3) </w:t>
      </w:r>
      <w:r w:rsidR="00B67786" w:rsidRPr="00805A70">
        <w:rPr>
          <w:i/>
          <w:lang w:val="en-US"/>
        </w:rPr>
        <w:t xml:space="preserve">Findings and quotes from the </w:t>
      </w:r>
      <w:r w:rsidR="000766CA" w:rsidRPr="00805A70">
        <w:rPr>
          <w:i/>
          <w:lang w:val="en-US"/>
        </w:rPr>
        <w:t xml:space="preserve">20 </w:t>
      </w:r>
      <w:r w:rsidRPr="00805A70">
        <w:rPr>
          <w:i/>
          <w:lang w:val="en-US"/>
        </w:rPr>
        <w:t xml:space="preserve">Interviews with key informants carried out by the consultant. </w:t>
      </w:r>
    </w:p>
    <w:p w14:paraId="6AEEEBE0" w14:textId="77777777" w:rsidR="00661C97" w:rsidRPr="00291F2C" w:rsidRDefault="00661C97" w:rsidP="003F66B8">
      <w:pPr>
        <w:spacing w:after="0" w:line="240" w:lineRule="auto"/>
        <w:jc w:val="both"/>
        <w:rPr>
          <w:sz w:val="10"/>
          <w:szCs w:val="10"/>
          <w:lang w:val="en-US"/>
        </w:rPr>
      </w:pPr>
    </w:p>
    <w:p w14:paraId="05E579B7" w14:textId="7248B905" w:rsidR="00E13FBA" w:rsidRPr="00805A70" w:rsidRDefault="00F541A0" w:rsidP="003F66B8">
      <w:pPr>
        <w:spacing w:after="0" w:line="240" w:lineRule="auto"/>
        <w:jc w:val="both"/>
        <w:rPr>
          <w:lang w:val="en-US"/>
        </w:rPr>
      </w:pPr>
      <w:r w:rsidRPr="00805A70">
        <w:rPr>
          <w:lang w:val="en-US"/>
        </w:rPr>
        <w:t>The list of s</w:t>
      </w:r>
      <w:r w:rsidR="00B67786" w:rsidRPr="00805A70">
        <w:rPr>
          <w:lang w:val="en-US"/>
        </w:rPr>
        <w:t xml:space="preserve">takeholders will be </w:t>
      </w:r>
      <w:r w:rsidRPr="00805A70">
        <w:rPr>
          <w:lang w:val="en-US"/>
        </w:rPr>
        <w:t xml:space="preserve">drafted </w:t>
      </w:r>
      <w:r w:rsidR="00C157AB" w:rsidRPr="00805A70">
        <w:rPr>
          <w:lang w:val="en-US"/>
        </w:rPr>
        <w:t>by</w:t>
      </w:r>
      <w:r w:rsidR="00B67786" w:rsidRPr="00805A70">
        <w:rPr>
          <w:lang w:val="en-US"/>
        </w:rPr>
        <w:t xml:space="preserve"> HI</w:t>
      </w:r>
      <w:r w:rsidRPr="00805A70">
        <w:rPr>
          <w:lang w:val="en-US"/>
        </w:rPr>
        <w:t xml:space="preserve"> and would welcome the input of the consultant</w:t>
      </w:r>
      <w:r w:rsidR="00B67786" w:rsidRPr="00805A70">
        <w:rPr>
          <w:lang w:val="en-US"/>
        </w:rPr>
        <w:t>, in order to reach all relevant voices across project locations</w:t>
      </w:r>
      <w:r w:rsidR="00E13FBA" w:rsidRPr="00805A70">
        <w:rPr>
          <w:lang w:val="en-US"/>
        </w:rPr>
        <w:t>. In addition, the HI AIR Team will provide a draft list of guiding questions for these interviews</w:t>
      </w:r>
      <w:r w:rsidR="00B67786" w:rsidRPr="00805A70">
        <w:rPr>
          <w:lang w:val="en-US"/>
        </w:rPr>
        <w:t>, to be reviewed and improved by the consultant</w:t>
      </w:r>
      <w:r w:rsidR="00E13FBA" w:rsidRPr="00805A70">
        <w:rPr>
          <w:lang w:val="en-US"/>
        </w:rPr>
        <w:t>.</w:t>
      </w:r>
      <w:r w:rsidR="00552091" w:rsidRPr="00805A70">
        <w:rPr>
          <w:lang w:val="en-US"/>
        </w:rPr>
        <w:t xml:space="preserve"> </w:t>
      </w:r>
    </w:p>
    <w:p w14:paraId="09E2E95A" w14:textId="68522532" w:rsidR="00661C97" w:rsidRDefault="00661C97" w:rsidP="00805A70">
      <w:pPr>
        <w:spacing w:after="0" w:line="240" w:lineRule="auto"/>
        <w:rPr>
          <w:sz w:val="10"/>
          <w:szCs w:val="10"/>
          <w:lang w:val="en-US"/>
        </w:rPr>
      </w:pPr>
      <w:r>
        <w:rPr>
          <w:sz w:val="10"/>
          <w:szCs w:val="10"/>
          <w:lang w:val="en-US"/>
        </w:rPr>
        <w:br w:type="page"/>
      </w:r>
    </w:p>
    <w:p w14:paraId="2797EFFB" w14:textId="444022EA" w:rsidR="00E13FBA" w:rsidRPr="00805A70" w:rsidRDefault="00811183" w:rsidP="003F66B8">
      <w:pPr>
        <w:spacing w:after="0" w:line="240" w:lineRule="auto"/>
        <w:jc w:val="both"/>
        <w:rPr>
          <w:lang w:val="en-US"/>
        </w:rPr>
      </w:pPr>
      <w:r w:rsidRPr="00805A70">
        <w:rPr>
          <w:i/>
          <w:lang w:val="en-US"/>
        </w:rPr>
        <w:lastRenderedPageBreak/>
        <w:t>(</w:t>
      </w:r>
      <w:r w:rsidR="00E13FBA" w:rsidRPr="00805A70">
        <w:rPr>
          <w:i/>
          <w:lang w:val="en-US"/>
        </w:rPr>
        <w:t>4</w:t>
      </w:r>
      <w:r w:rsidRPr="00805A70">
        <w:rPr>
          <w:i/>
          <w:lang w:val="en-US"/>
        </w:rPr>
        <w:t xml:space="preserve">) </w:t>
      </w:r>
      <w:r w:rsidR="00E13FBA" w:rsidRPr="00805A70">
        <w:rPr>
          <w:i/>
          <w:lang w:val="en-US"/>
        </w:rPr>
        <w:t>A report compiling and analyzing all evidence collected (testimonies, case studies, desk reviews and interviews) in order to</w:t>
      </w:r>
      <w:r w:rsidR="00E13FBA" w:rsidRPr="00805A70">
        <w:rPr>
          <w:lang w:val="en-US"/>
        </w:rPr>
        <w:t>:</w:t>
      </w:r>
    </w:p>
    <w:p w14:paraId="0ADE313A" w14:textId="1FB5516F" w:rsidR="00E13FBA" w:rsidRPr="00805A70" w:rsidRDefault="00E13FBA" w:rsidP="003F66B8">
      <w:pPr>
        <w:pStyle w:val="Paragraphedeliste"/>
        <w:numPr>
          <w:ilvl w:val="0"/>
          <w:numId w:val="34"/>
        </w:numPr>
        <w:jc w:val="both"/>
        <w:rPr>
          <w:lang w:val="en-US"/>
        </w:rPr>
      </w:pPr>
      <w:r w:rsidRPr="00805A70">
        <w:rPr>
          <w:lang w:val="en-US"/>
        </w:rPr>
        <w:t>Introduce the issue: the global situation, the educational situation of children with disabilities, and benefits when uninterrupted education is realized.</w:t>
      </w:r>
    </w:p>
    <w:p w14:paraId="091324A9" w14:textId="18D44EB6" w:rsidR="00E13FBA" w:rsidRPr="00805A70" w:rsidRDefault="00E13FBA" w:rsidP="003F66B8">
      <w:pPr>
        <w:pStyle w:val="Paragraphedeliste"/>
        <w:numPr>
          <w:ilvl w:val="0"/>
          <w:numId w:val="34"/>
        </w:numPr>
        <w:jc w:val="both"/>
        <w:rPr>
          <w:lang w:val="en-US"/>
        </w:rPr>
      </w:pPr>
      <w:r w:rsidRPr="00805A70">
        <w:rPr>
          <w:lang w:val="en-US"/>
        </w:rPr>
        <w:t>Provid</w:t>
      </w:r>
      <w:r w:rsidR="003403A3" w:rsidRPr="00805A70">
        <w:rPr>
          <w:lang w:val="en-US"/>
        </w:rPr>
        <w:t>e</w:t>
      </w:r>
      <w:r w:rsidRPr="00805A70">
        <w:rPr>
          <w:lang w:val="en-US"/>
        </w:rPr>
        <w:t xml:space="preserve"> the perspectives of education services’ users (children and youth with disabilities and their families); providers (national and local authorities, education professionals); and policy-makers (governments, international donors, UN agencies).</w:t>
      </w:r>
    </w:p>
    <w:p w14:paraId="3E722FC7" w14:textId="0C99588A" w:rsidR="00E13FBA" w:rsidRPr="00805A70" w:rsidRDefault="00E13FBA" w:rsidP="003F66B8">
      <w:pPr>
        <w:pStyle w:val="Paragraphedeliste"/>
        <w:numPr>
          <w:ilvl w:val="0"/>
          <w:numId w:val="34"/>
        </w:numPr>
        <w:jc w:val="both"/>
        <w:rPr>
          <w:lang w:val="en-US"/>
        </w:rPr>
      </w:pPr>
      <w:r w:rsidRPr="00805A70">
        <w:rPr>
          <w:lang w:val="en-US"/>
        </w:rPr>
        <w:t>Explore barriers and enabling factors across three fundamental dimensions: continuity of learning, continuity of teaching/service provision, and continuity of funding (before, during, and after crisis).</w:t>
      </w:r>
    </w:p>
    <w:p w14:paraId="3D9FAA9A" w14:textId="62EECB39" w:rsidR="00E13FBA" w:rsidRPr="00805A70" w:rsidRDefault="00E13FBA" w:rsidP="003F66B8">
      <w:pPr>
        <w:pStyle w:val="Paragraphedeliste"/>
        <w:numPr>
          <w:ilvl w:val="0"/>
          <w:numId w:val="34"/>
        </w:numPr>
        <w:jc w:val="both"/>
        <w:rPr>
          <w:lang w:val="en-US"/>
        </w:rPr>
      </w:pPr>
      <w:r w:rsidRPr="00805A70">
        <w:rPr>
          <w:lang w:val="en-US"/>
        </w:rPr>
        <w:t>Present a set of recommendations for governments, donors and UN agencies, as well as CSOs/NGOs.</w:t>
      </w:r>
    </w:p>
    <w:p w14:paraId="0C4A4309" w14:textId="77777777" w:rsidR="00661C97" w:rsidRPr="00291F2C" w:rsidRDefault="00661C97" w:rsidP="003F66B8">
      <w:pPr>
        <w:spacing w:after="0" w:line="240" w:lineRule="auto"/>
        <w:ind w:left="360"/>
        <w:jc w:val="both"/>
        <w:rPr>
          <w:sz w:val="10"/>
          <w:szCs w:val="10"/>
          <w:lang w:val="en-US"/>
        </w:rPr>
      </w:pPr>
    </w:p>
    <w:p w14:paraId="15162AB5" w14:textId="55507FF8" w:rsidR="00A305E3" w:rsidRPr="00805A70" w:rsidRDefault="00552091" w:rsidP="003F66B8">
      <w:pPr>
        <w:spacing w:after="0" w:line="240" w:lineRule="auto"/>
        <w:ind w:left="360"/>
        <w:jc w:val="both"/>
        <w:rPr>
          <w:lang w:val="en-US"/>
        </w:rPr>
      </w:pPr>
      <w:r w:rsidRPr="00805A70">
        <w:rPr>
          <w:lang w:val="en-US"/>
        </w:rPr>
        <w:t>The intermediate and final drafts of the report will be submitted to HI for review and comments</w:t>
      </w:r>
      <w:r w:rsidR="009C78B6" w:rsidRPr="00805A70">
        <w:rPr>
          <w:lang w:val="en-US"/>
        </w:rPr>
        <w:t xml:space="preserve"> by the editorial committee</w:t>
      </w:r>
      <w:r w:rsidRPr="00805A70">
        <w:rPr>
          <w:lang w:val="en-US"/>
        </w:rPr>
        <w:t>, before the production of a final draft.</w:t>
      </w:r>
    </w:p>
    <w:p w14:paraId="7ADF16D1" w14:textId="77777777" w:rsidR="00552091" w:rsidRPr="00D84F57" w:rsidRDefault="00552091" w:rsidP="00805A70">
      <w:pPr>
        <w:spacing w:after="0" w:line="240" w:lineRule="auto"/>
        <w:rPr>
          <w:highlight w:val="yellow"/>
          <w:lang w:val="en-US"/>
        </w:rPr>
      </w:pPr>
    </w:p>
    <w:p w14:paraId="0E71202C" w14:textId="77777777" w:rsidR="00A305E3" w:rsidRPr="002457F1" w:rsidRDefault="00A305E3" w:rsidP="00805A70">
      <w:pPr>
        <w:spacing w:after="0" w:line="240" w:lineRule="auto"/>
        <w:rPr>
          <w:b/>
          <w:lang w:val="en-US"/>
        </w:rPr>
      </w:pPr>
      <w:r w:rsidRPr="002457F1">
        <w:rPr>
          <w:b/>
          <w:lang w:val="en-US"/>
        </w:rPr>
        <w:t>3-3- Timeline of the consultancy service</w:t>
      </w:r>
    </w:p>
    <w:p w14:paraId="59A7543B" w14:textId="0DF83365" w:rsidR="00A305E3" w:rsidRPr="00291F2C" w:rsidRDefault="00A305E3" w:rsidP="00805A70">
      <w:pPr>
        <w:spacing w:after="0" w:line="240" w:lineRule="auto"/>
        <w:rPr>
          <w:sz w:val="10"/>
          <w:szCs w:val="10"/>
          <w:lang w:val="en-US"/>
        </w:rPr>
      </w:pPr>
    </w:p>
    <w:p w14:paraId="05D873A6" w14:textId="2F2F0164" w:rsidR="0034247F" w:rsidRPr="00805A70" w:rsidRDefault="0034247F" w:rsidP="00805A70">
      <w:pPr>
        <w:spacing w:after="0" w:line="240" w:lineRule="auto"/>
        <w:rPr>
          <w:lang w:val="en-US"/>
        </w:rPr>
      </w:pPr>
      <w:r w:rsidRPr="00805A70">
        <w:rPr>
          <w:lang w:val="en-US"/>
        </w:rPr>
        <w:t xml:space="preserve">Between </w:t>
      </w:r>
      <w:r w:rsidR="002F609E" w:rsidRPr="00805A70">
        <w:rPr>
          <w:lang w:val="en-US"/>
        </w:rPr>
        <w:t>15 June and 29 October: t</w:t>
      </w:r>
      <w:r w:rsidRPr="00805A70">
        <w:rPr>
          <w:lang w:val="en-US"/>
        </w:rPr>
        <w:t xml:space="preserve">he Consultant </w:t>
      </w:r>
      <w:r w:rsidR="002F609E" w:rsidRPr="00805A70">
        <w:rPr>
          <w:lang w:val="en-US"/>
        </w:rPr>
        <w:t>is expected to work 20 to 23 days</w:t>
      </w:r>
      <w:r w:rsidRPr="00805A70">
        <w:rPr>
          <w:lang w:val="en-US"/>
        </w:rPr>
        <w:t>.</w:t>
      </w:r>
    </w:p>
    <w:p w14:paraId="582697D7" w14:textId="3E57BCB3" w:rsidR="00811183" w:rsidRPr="005A0C06" w:rsidRDefault="00A365C2" w:rsidP="00805A70">
      <w:pPr>
        <w:spacing w:after="0" w:line="240" w:lineRule="auto"/>
        <w:rPr>
          <w:lang w:val="en-US"/>
        </w:rPr>
      </w:pPr>
      <w:r w:rsidRPr="00805A70">
        <w:rPr>
          <w:lang w:val="en-US"/>
        </w:rPr>
        <w:t xml:space="preserve">Foreseen date for finalization of the document: </w:t>
      </w:r>
      <w:r w:rsidR="002F609E" w:rsidRPr="00805A70">
        <w:rPr>
          <w:lang w:val="en-US"/>
        </w:rPr>
        <w:t>29</w:t>
      </w:r>
      <w:r w:rsidRPr="00805A70">
        <w:rPr>
          <w:lang w:val="en-US"/>
        </w:rPr>
        <w:t>/1</w:t>
      </w:r>
      <w:r w:rsidR="002F609E" w:rsidRPr="00805A70">
        <w:rPr>
          <w:lang w:val="en-US"/>
        </w:rPr>
        <w:t>0</w:t>
      </w:r>
      <w:r w:rsidRPr="00805A70">
        <w:rPr>
          <w:lang w:val="en-US"/>
        </w:rPr>
        <w:t>/2023</w:t>
      </w:r>
      <w:r w:rsidR="00AE792A" w:rsidRPr="005A0C06">
        <w:rPr>
          <w:lang w:val="en-US"/>
        </w:rPr>
        <w:t>.</w:t>
      </w:r>
    </w:p>
    <w:p w14:paraId="46EEEC5A" w14:textId="77777777" w:rsidR="00AE792A" w:rsidRPr="00285E4A" w:rsidRDefault="00AE792A" w:rsidP="00805A70">
      <w:pPr>
        <w:spacing w:after="0" w:line="240" w:lineRule="auto"/>
        <w:rPr>
          <w:lang w:val="en-US"/>
        </w:rPr>
      </w:pPr>
    </w:p>
    <w:tbl>
      <w:tblPr>
        <w:tblStyle w:val="TableauGrille4-Accentuation4"/>
        <w:tblW w:w="9776" w:type="dxa"/>
        <w:tblLayout w:type="fixed"/>
        <w:tblLook w:val="04A0" w:firstRow="1" w:lastRow="0" w:firstColumn="1" w:lastColumn="0" w:noHBand="0" w:noVBand="1"/>
      </w:tblPr>
      <w:tblGrid>
        <w:gridCol w:w="580"/>
        <w:gridCol w:w="4235"/>
        <w:gridCol w:w="1559"/>
        <w:gridCol w:w="1314"/>
        <w:gridCol w:w="39"/>
        <w:gridCol w:w="2049"/>
      </w:tblGrid>
      <w:tr w:rsidR="00661C97" w:rsidRPr="00805A70" w14:paraId="3F573ABD" w14:textId="77777777" w:rsidTr="007232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14:paraId="389B2594" w14:textId="2A50E946" w:rsidR="002F609E" w:rsidRPr="00805A70" w:rsidRDefault="002F609E" w:rsidP="00285E4A">
            <w:pPr>
              <w:spacing w:after="0" w:line="240" w:lineRule="auto"/>
              <w:rPr>
                <w:color w:val="auto"/>
                <w:lang w:val="en-US"/>
              </w:rPr>
            </w:pPr>
            <w:r w:rsidRPr="00805A70">
              <w:rPr>
                <w:color w:val="auto"/>
                <w:lang w:val="en-US"/>
              </w:rPr>
              <w:t>Deliverables</w:t>
            </w:r>
          </w:p>
        </w:tc>
        <w:tc>
          <w:tcPr>
            <w:tcW w:w="1559" w:type="dxa"/>
          </w:tcPr>
          <w:p w14:paraId="32FD6B58" w14:textId="156C2569" w:rsidR="002F609E" w:rsidRPr="00805A70" w:rsidRDefault="002F609E" w:rsidP="00805A70">
            <w:pPr>
              <w:spacing w:after="0" w:line="240" w:lineRule="auto"/>
              <w:cnfStyle w:val="100000000000" w:firstRow="1" w:lastRow="0" w:firstColumn="0" w:lastColumn="0" w:oddVBand="0" w:evenVBand="0" w:oddHBand="0" w:evenHBand="0" w:firstRowFirstColumn="0" w:firstRowLastColumn="0" w:lastRowFirstColumn="0" w:lastRowLastColumn="0"/>
              <w:rPr>
                <w:color w:val="auto"/>
                <w:lang w:val="en-US"/>
              </w:rPr>
            </w:pPr>
            <w:r w:rsidRPr="00805A70">
              <w:rPr>
                <w:color w:val="auto"/>
                <w:lang w:val="en-US"/>
              </w:rPr>
              <w:t>Recipients</w:t>
            </w:r>
          </w:p>
        </w:tc>
        <w:tc>
          <w:tcPr>
            <w:tcW w:w="1353" w:type="dxa"/>
            <w:gridSpan w:val="2"/>
          </w:tcPr>
          <w:p w14:paraId="3F0BDADF" w14:textId="15879465" w:rsidR="002F609E" w:rsidRPr="00805A70" w:rsidRDefault="002F609E" w:rsidP="00805A70">
            <w:pPr>
              <w:spacing w:after="0" w:line="240" w:lineRule="auto"/>
              <w:cnfStyle w:val="100000000000" w:firstRow="1" w:lastRow="0" w:firstColumn="0" w:lastColumn="0" w:oddVBand="0" w:evenVBand="0" w:oddHBand="0" w:evenHBand="0" w:firstRowFirstColumn="0" w:firstRowLastColumn="0" w:lastRowFirstColumn="0" w:lastRowLastColumn="0"/>
              <w:rPr>
                <w:color w:val="auto"/>
                <w:lang w:val="en-US"/>
              </w:rPr>
            </w:pPr>
            <w:r w:rsidRPr="00805A70">
              <w:rPr>
                <w:color w:val="auto"/>
                <w:lang w:val="en-US"/>
              </w:rPr>
              <w:t>Dissemination</w:t>
            </w:r>
          </w:p>
        </w:tc>
        <w:tc>
          <w:tcPr>
            <w:tcW w:w="2049" w:type="dxa"/>
          </w:tcPr>
          <w:p w14:paraId="44D876ED" w14:textId="1A91A526" w:rsidR="002F609E" w:rsidRPr="00805A70" w:rsidRDefault="002F609E" w:rsidP="00805A70">
            <w:pPr>
              <w:spacing w:after="0" w:line="240" w:lineRule="auto"/>
              <w:cnfStyle w:val="100000000000" w:firstRow="1" w:lastRow="0" w:firstColumn="0" w:lastColumn="0" w:oddVBand="0" w:evenVBand="0" w:oddHBand="0" w:evenHBand="0" w:firstRowFirstColumn="0" w:firstRowLastColumn="0" w:lastRowFirstColumn="0" w:lastRowLastColumn="0"/>
              <w:rPr>
                <w:color w:val="auto"/>
                <w:lang w:val="en-US"/>
              </w:rPr>
            </w:pPr>
            <w:r w:rsidRPr="00805A70">
              <w:rPr>
                <w:color w:val="auto"/>
                <w:lang w:val="en-US"/>
              </w:rPr>
              <w:t>Delivery Deadlines</w:t>
            </w:r>
          </w:p>
        </w:tc>
      </w:tr>
      <w:tr w:rsidR="002F609E" w:rsidRPr="006D5E7F" w14:paraId="6E6EE05C" w14:textId="77777777" w:rsidTr="00661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6"/>
          </w:tcPr>
          <w:p w14:paraId="37DE83B1" w14:textId="28C13865" w:rsidR="002F609E" w:rsidRPr="00805A70" w:rsidRDefault="002F609E" w:rsidP="00285E4A">
            <w:pPr>
              <w:spacing w:after="0" w:line="240" w:lineRule="auto"/>
              <w:rPr>
                <w:lang w:val="en-US"/>
              </w:rPr>
            </w:pPr>
            <w:r w:rsidRPr="00805A70">
              <w:rPr>
                <w:lang w:val="en-US"/>
              </w:rPr>
              <w:t>Technical Documents relative to study/research implementation</w:t>
            </w:r>
          </w:p>
        </w:tc>
      </w:tr>
      <w:tr w:rsidR="00661C97" w:rsidRPr="00805A70" w14:paraId="17C7EA8C" w14:textId="77777777" w:rsidTr="007232A2">
        <w:tc>
          <w:tcPr>
            <w:cnfStyle w:val="001000000000" w:firstRow="0" w:lastRow="0" w:firstColumn="1" w:lastColumn="0" w:oddVBand="0" w:evenVBand="0" w:oddHBand="0" w:evenHBand="0" w:firstRowFirstColumn="0" w:firstRowLastColumn="0" w:lastRowFirstColumn="0" w:lastRowLastColumn="0"/>
            <w:tcW w:w="580" w:type="dxa"/>
          </w:tcPr>
          <w:p w14:paraId="2EA21911" w14:textId="451D96AB" w:rsidR="003403A3" w:rsidRPr="00805A70" w:rsidRDefault="003403A3" w:rsidP="00285E4A">
            <w:pPr>
              <w:spacing w:after="0" w:line="240" w:lineRule="auto"/>
              <w:rPr>
                <w:lang w:val="en-US"/>
              </w:rPr>
            </w:pPr>
            <w:r w:rsidRPr="00805A70">
              <w:rPr>
                <w:lang w:val="en-US"/>
              </w:rPr>
              <w:t>1-</w:t>
            </w:r>
          </w:p>
        </w:tc>
        <w:tc>
          <w:tcPr>
            <w:tcW w:w="4235" w:type="dxa"/>
          </w:tcPr>
          <w:p w14:paraId="1BA86D88" w14:textId="1B2A00A8" w:rsidR="003403A3" w:rsidRPr="00805A70" w:rsidRDefault="003403A3" w:rsidP="00805A70">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rsidRPr="00805A70">
              <w:rPr>
                <w:bCs/>
                <w:lang w:val="en-US"/>
              </w:rPr>
              <w:t>Final Methodological Proposal</w:t>
            </w:r>
          </w:p>
        </w:tc>
        <w:tc>
          <w:tcPr>
            <w:tcW w:w="1559" w:type="dxa"/>
          </w:tcPr>
          <w:p w14:paraId="277EB168" w14:textId="3567DB0A" w:rsidR="003403A3" w:rsidRPr="00805A70" w:rsidRDefault="003403A3" w:rsidP="00661C97">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sidRPr="00805A70">
              <w:rPr>
                <w:lang w:val="en-US"/>
              </w:rPr>
              <w:t>HI</w:t>
            </w:r>
          </w:p>
        </w:tc>
        <w:tc>
          <w:tcPr>
            <w:tcW w:w="1314" w:type="dxa"/>
          </w:tcPr>
          <w:p w14:paraId="4268A2B2" w14:textId="6C4AD656" w:rsidR="003403A3" w:rsidRPr="00805A70" w:rsidRDefault="003403A3" w:rsidP="00661C97">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sidRPr="00805A70">
              <w:rPr>
                <w:lang w:val="en-US"/>
              </w:rPr>
              <w:t>Internal</w:t>
            </w:r>
          </w:p>
        </w:tc>
        <w:tc>
          <w:tcPr>
            <w:tcW w:w="2088" w:type="dxa"/>
            <w:gridSpan w:val="2"/>
          </w:tcPr>
          <w:p w14:paraId="43365E2E" w14:textId="0E0D9AEE" w:rsidR="003403A3" w:rsidRPr="00805A70" w:rsidRDefault="003403A3" w:rsidP="00805A70">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rsidRPr="00805A70">
              <w:rPr>
                <w:lang w:val="en-US"/>
              </w:rPr>
              <w:t>23 June 2023</w:t>
            </w:r>
          </w:p>
        </w:tc>
      </w:tr>
      <w:tr w:rsidR="003403A3" w:rsidRPr="00805A70" w14:paraId="7B144692" w14:textId="77777777" w:rsidTr="00661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6"/>
          </w:tcPr>
          <w:p w14:paraId="605369F2" w14:textId="2F91820D" w:rsidR="003403A3" w:rsidRPr="00805A70" w:rsidRDefault="003403A3" w:rsidP="00661C97">
            <w:pPr>
              <w:spacing w:after="0" w:line="240" w:lineRule="auto"/>
              <w:jc w:val="center"/>
              <w:rPr>
                <w:lang w:val="en-US"/>
              </w:rPr>
            </w:pPr>
            <w:r w:rsidRPr="00805A70">
              <w:rPr>
                <w:lang w:val="en-US"/>
              </w:rPr>
              <w:t>Workshops/Meetings</w:t>
            </w:r>
          </w:p>
        </w:tc>
      </w:tr>
      <w:tr w:rsidR="00661C97" w:rsidRPr="00805A70" w14:paraId="2D127C57" w14:textId="77777777" w:rsidTr="007232A2">
        <w:tc>
          <w:tcPr>
            <w:cnfStyle w:val="001000000000" w:firstRow="0" w:lastRow="0" w:firstColumn="1" w:lastColumn="0" w:oddVBand="0" w:evenVBand="0" w:oddHBand="0" w:evenHBand="0" w:firstRowFirstColumn="0" w:firstRowLastColumn="0" w:lastRowFirstColumn="0" w:lastRowLastColumn="0"/>
            <w:tcW w:w="580" w:type="dxa"/>
          </w:tcPr>
          <w:p w14:paraId="53E45130" w14:textId="2E3307DE" w:rsidR="003403A3" w:rsidRPr="00805A70" w:rsidRDefault="00AE792A" w:rsidP="00285E4A">
            <w:pPr>
              <w:spacing w:after="0" w:line="240" w:lineRule="auto"/>
              <w:rPr>
                <w:lang w:val="en-US"/>
              </w:rPr>
            </w:pPr>
            <w:r w:rsidRPr="00805A70">
              <w:rPr>
                <w:lang w:val="en-US"/>
              </w:rPr>
              <w:t>2</w:t>
            </w:r>
            <w:r w:rsidR="003403A3" w:rsidRPr="00805A70">
              <w:rPr>
                <w:lang w:val="en-US"/>
              </w:rPr>
              <w:t>-</w:t>
            </w:r>
          </w:p>
        </w:tc>
        <w:tc>
          <w:tcPr>
            <w:tcW w:w="4235" w:type="dxa"/>
          </w:tcPr>
          <w:p w14:paraId="790B8BE8" w14:textId="7C8A3828" w:rsidR="003403A3" w:rsidRPr="00805A70" w:rsidRDefault="003403A3" w:rsidP="00805A70">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rsidRPr="00805A70">
              <w:rPr>
                <w:bCs/>
                <w:lang w:val="en-US"/>
              </w:rPr>
              <w:t>1 Kick off Meeting with key contributors (2h)</w:t>
            </w:r>
          </w:p>
        </w:tc>
        <w:tc>
          <w:tcPr>
            <w:tcW w:w="1559" w:type="dxa"/>
          </w:tcPr>
          <w:p w14:paraId="4B032B95" w14:textId="5D9949FF" w:rsidR="003403A3" w:rsidRPr="00805A70" w:rsidRDefault="003403A3" w:rsidP="00661C97">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sidRPr="00805A70">
              <w:rPr>
                <w:lang w:val="en-US"/>
              </w:rPr>
              <w:t>HI</w:t>
            </w:r>
          </w:p>
        </w:tc>
        <w:tc>
          <w:tcPr>
            <w:tcW w:w="1314" w:type="dxa"/>
          </w:tcPr>
          <w:p w14:paraId="53ABC6F9" w14:textId="5CB89207" w:rsidR="003403A3" w:rsidRPr="00805A70" w:rsidRDefault="003403A3" w:rsidP="00661C97">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sidRPr="00805A70">
              <w:rPr>
                <w:lang w:val="en-US"/>
              </w:rPr>
              <w:t>Internal</w:t>
            </w:r>
          </w:p>
        </w:tc>
        <w:tc>
          <w:tcPr>
            <w:tcW w:w="2088" w:type="dxa"/>
            <w:gridSpan w:val="2"/>
          </w:tcPr>
          <w:p w14:paraId="7FFD221C" w14:textId="512C0BA7" w:rsidR="003403A3" w:rsidRPr="00805A70" w:rsidRDefault="003403A3" w:rsidP="00805A70">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rsidRPr="00805A70">
              <w:rPr>
                <w:lang w:val="en-US"/>
              </w:rPr>
              <w:t>By end of June</w:t>
            </w:r>
          </w:p>
        </w:tc>
      </w:tr>
      <w:tr w:rsidR="003403A3" w:rsidRPr="00805A70" w14:paraId="779E5F78" w14:textId="77777777" w:rsidTr="00661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6"/>
          </w:tcPr>
          <w:p w14:paraId="01035346" w14:textId="3BE166A8" w:rsidR="003403A3" w:rsidRPr="00805A70" w:rsidRDefault="003403A3" w:rsidP="00661C97">
            <w:pPr>
              <w:spacing w:after="0" w:line="240" w:lineRule="auto"/>
              <w:jc w:val="center"/>
              <w:rPr>
                <w:lang w:val="en-US"/>
              </w:rPr>
            </w:pPr>
            <w:r w:rsidRPr="00805A70">
              <w:rPr>
                <w:lang w:val="en-US"/>
              </w:rPr>
              <w:t>Mid-term Documents</w:t>
            </w:r>
          </w:p>
        </w:tc>
      </w:tr>
      <w:tr w:rsidR="00661C97" w:rsidRPr="00805A70" w14:paraId="1FD053B3" w14:textId="77777777" w:rsidTr="007232A2">
        <w:tc>
          <w:tcPr>
            <w:cnfStyle w:val="001000000000" w:firstRow="0" w:lastRow="0" w:firstColumn="1" w:lastColumn="0" w:oddVBand="0" w:evenVBand="0" w:oddHBand="0" w:evenHBand="0" w:firstRowFirstColumn="0" w:firstRowLastColumn="0" w:lastRowFirstColumn="0" w:lastRowLastColumn="0"/>
            <w:tcW w:w="580" w:type="dxa"/>
          </w:tcPr>
          <w:p w14:paraId="11C183E5" w14:textId="1B4FCFA8" w:rsidR="003403A3" w:rsidRPr="00805A70" w:rsidRDefault="00AE792A" w:rsidP="00285E4A">
            <w:pPr>
              <w:spacing w:after="0" w:line="240" w:lineRule="auto"/>
              <w:rPr>
                <w:lang w:val="en-US"/>
              </w:rPr>
            </w:pPr>
            <w:r w:rsidRPr="00805A70">
              <w:rPr>
                <w:lang w:val="en-US"/>
              </w:rPr>
              <w:t>3</w:t>
            </w:r>
            <w:r w:rsidR="003403A3" w:rsidRPr="00805A70">
              <w:rPr>
                <w:lang w:val="en-US"/>
              </w:rPr>
              <w:t>-</w:t>
            </w:r>
          </w:p>
        </w:tc>
        <w:tc>
          <w:tcPr>
            <w:tcW w:w="4235" w:type="dxa"/>
          </w:tcPr>
          <w:p w14:paraId="47EDAC9A" w14:textId="4C9B6CC6" w:rsidR="003403A3" w:rsidRPr="00805A70" w:rsidRDefault="004B2CD5" w:rsidP="00805A70">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rsidRPr="00805A70">
              <w:rPr>
                <w:bCs/>
                <w:lang w:val="en-US"/>
              </w:rPr>
              <w:t>First a</w:t>
            </w:r>
            <w:r w:rsidR="003403A3" w:rsidRPr="00805A70">
              <w:rPr>
                <w:bCs/>
                <w:lang w:val="en-US"/>
              </w:rPr>
              <w:t xml:space="preserve">nalysis of testimonies, case-studies, </w:t>
            </w:r>
            <w:r w:rsidRPr="00805A70">
              <w:rPr>
                <w:bCs/>
                <w:lang w:val="en-US"/>
              </w:rPr>
              <w:t xml:space="preserve">policy documents </w:t>
            </w:r>
          </w:p>
        </w:tc>
        <w:tc>
          <w:tcPr>
            <w:tcW w:w="1559" w:type="dxa"/>
          </w:tcPr>
          <w:p w14:paraId="04036392" w14:textId="3F3716D0" w:rsidR="003403A3" w:rsidRPr="00805A70" w:rsidRDefault="00552091" w:rsidP="00661C97">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sidRPr="00805A70">
              <w:rPr>
                <w:lang w:val="en-US"/>
              </w:rPr>
              <w:t>HI</w:t>
            </w:r>
          </w:p>
        </w:tc>
        <w:tc>
          <w:tcPr>
            <w:tcW w:w="1314" w:type="dxa"/>
          </w:tcPr>
          <w:p w14:paraId="110F806E" w14:textId="2B5EAC32" w:rsidR="003403A3" w:rsidRPr="00805A70" w:rsidRDefault="00552091" w:rsidP="00661C97">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sidRPr="00805A70">
              <w:rPr>
                <w:lang w:val="en-US"/>
              </w:rPr>
              <w:t>Internal</w:t>
            </w:r>
          </w:p>
        </w:tc>
        <w:tc>
          <w:tcPr>
            <w:tcW w:w="2088" w:type="dxa"/>
            <w:gridSpan w:val="2"/>
          </w:tcPr>
          <w:p w14:paraId="1ABEABC5" w14:textId="512ACAFD" w:rsidR="003403A3" w:rsidRPr="00805A70" w:rsidRDefault="003403A3" w:rsidP="00805A70">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rsidRPr="00805A70">
              <w:rPr>
                <w:lang w:val="en-US"/>
              </w:rPr>
              <w:t xml:space="preserve">By </w:t>
            </w:r>
            <w:r w:rsidR="00552091" w:rsidRPr="00805A70">
              <w:rPr>
                <w:lang w:val="en-US"/>
              </w:rPr>
              <w:t>17</w:t>
            </w:r>
            <w:r w:rsidRPr="00805A70">
              <w:rPr>
                <w:vertAlign w:val="superscript"/>
                <w:lang w:val="en-US"/>
              </w:rPr>
              <w:t>th</w:t>
            </w:r>
            <w:r w:rsidRPr="00805A70">
              <w:rPr>
                <w:lang w:val="en-US"/>
              </w:rPr>
              <w:t xml:space="preserve"> of </w:t>
            </w:r>
            <w:r w:rsidR="00552091" w:rsidRPr="00805A70">
              <w:rPr>
                <w:lang w:val="en-US"/>
              </w:rPr>
              <w:t>July</w:t>
            </w:r>
          </w:p>
        </w:tc>
      </w:tr>
      <w:tr w:rsidR="00661C97" w:rsidRPr="00805A70" w14:paraId="2DB8085D" w14:textId="77777777" w:rsidTr="00723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 w:type="dxa"/>
          </w:tcPr>
          <w:p w14:paraId="1627B72C" w14:textId="210790DD" w:rsidR="003403A3" w:rsidRPr="00805A70" w:rsidRDefault="00AE792A" w:rsidP="00285E4A">
            <w:pPr>
              <w:spacing w:after="0" w:line="240" w:lineRule="auto"/>
              <w:rPr>
                <w:lang w:val="en-US"/>
              </w:rPr>
            </w:pPr>
            <w:r w:rsidRPr="00805A70">
              <w:rPr>
                <w:lang w:val="en-US"/>
              </w:rPr>
              <w:t>4-</w:t>
            </w:r>
          </w:p>
        </w:tc>
        <w:tc>
          <w:tcPr>
            <w:tcW w:w="4235" w:type="dxa"/>
          </w:tcPr>
          <w:p w14:paraId="0CAACEDB" w14:textId="7F565EED" w:rsidR="003403A3" w:rsidRPr="00805A70" w:rsidRDefault="003403A3" w:rsidP="00805A70">
            <w:pPr>
              <w:spacing w:after="0" w:line="240" w:lineRule="auto"/>
              <w:cnfStyle w:val="000000100000" w:firstRow="0" w:lastRow="0" w:firstColumn="0" w:lastColumn="0" w:oddVBand="0" w:evenVBand="0" w:oddHBand="1" w:evenHBand="0" w:firstRowFirstColumn="0" w:firstRowLastColumn="0" w:lastRowFirstColumn="0" w:lastRowLastColumn="0"/>
              <w:rPr>
                <w:lang w:val="en-US"/>
              </w:rPr>
            </w:pPr>
            <w:r w:rsidRPr="00805A70">
              <w:rPr>
                <w:lang w:val="en-US"/>
              </w:rPr>
              <w:t>Further analysis of donors’ instruments and/or documents</w:t>
            </w:r>
          </w:p>
        </w:tc>
        <w:tc>
          <w:tcPr>
            <w:tcW w:w="1559" w:type="dxa"/>
          </w:tcPr>
          <w:p w14:paraId="0FCE600F" w14:textId="7A240301" w:rsidR="003403A3" w:rsidRPr="00805A70" w:rsidRDefault="00552091" w:rsidP="00661C97">
            <w:pPr>
              <w:spacing w:after="0" w:line="240" w:lineRule="auto"/>
              <w:jc w:val="center"/>
              <w:cnfStyle w:val="000000100000" w:firstRow="0" w:lastRow="0" w:firstColumn="0" w:lastColumn="0" w:oddVBand="0" w:evenVBand="0" w:oddHBand="1" w:evenHBand="0" w:firstRowFirstColumn="0" w:firstRowLastColumn="0" w:lastRowFirstColumn="0" w:lastRowLastColumn="0"/>
              <w:rPr>
                <w:lang w:val="en-US"/>
              </w:rPr>
            </w:pPr>
            <w:r w:rsidRPr="00805A70">
              <w:rPr>
                <w:lang w:val="en-US"/>
              </w:rPr>
              <w:t>HI</w:t>
            </w:r>
          </w:p>
        </w:tc>
        <w:tc>
          <w:tcPr>
            <w:tcW w:w="1314" w:type="dxa"/>
          </w:tcPr>
          <w:p w14:paraId="7B47D146" w14:textId="6A00C77D" w:rsidR="003403A3" w:rsidRPr="00805A70" w:rsidRDefault="00552091" w:rsidP="00661C97">
            <w:pPr>
              <w:spacing w:after="0" w:line="240" w:lineRule="auto"/>
              <w:jc w:val="center"/>
              <w:cnfStyle w:val="000000100000" w:firstRow="0" w:lastRow="0" w:firstColumn="0" w:lastColumn="0" w:oddVBand="0" w:evenVBand="0" w:oddHBand="1" w:evenHBand="0" w:firstRowFirstColumn="0" w:firstRowLastColumn="0" w:lastRowFirstColumn="0" w:lastRowLastColumn="0"/>
              <w:rPr>
                <w:lang w:val="en-US"/>
              </w:rPr>
            </w:pPr>
            <w:r w:rsidRPr="00805A70">
              <w:rPr>
                <w:lang w:val="en-US"/>
              </w:rPr>
              <w:t>Internal</w:t>
            </w:r>
          </w:p>
        </w:tc>
        <w:tc>
          <w:tcPr>
            <w:tcW w:w="2088" w:type="dxa"/>
            <w:gridSpan w:val="2"/>
          </w:tcPr>
          <w:p w14:paraId="0D34629E" w14:textId="3273879D" w:rsidR="003403A3" w:rsidRPr="00805A70" w:rsidRDefault="00552091" w:rsidP="00805A70">
            <w:pPr>
              <w:spacing w:after="0" w:line="240" w:lineRule="auto"/>
              <w:cnfStyle w:val="000000100000" w:firstRow="0" w:lastRow="0" w:firstColumn="0" w:lastColumn="0" w:oddVBand="0" w:evenVBand="0" w:oddHBand="1" w:evenHBand="0" w:firstRowFirstColumn="0" w:firstRowLastColumn="0" w:lastRowFirstColumn="0" w:lastRowLastColumn="0"/>
              <w:rPr>
                <w:lang w:val="en-US"/>
              </w:rPr>
            </w:pPr>
            <w:r w:rsidRPr="00805A70">
              <w:rPr>
                <w:lang w:val="en-US"/>
              </w:rPr>
              <w:t>By 5</w:t>
            </w:r>
            <w:r w:rsidRPr="00805A70">
              <w:rPr>
                <w:vertAlign w:val="superscript"/>
                <w:lang w:val="en-US"/>
              </w:rPr>
              <w:t>th</w:t>
            </w:r>
            <w:r w:rsidRPr="00805A70">
              <w:rPr>
                <w:lang w:val="en-US"/>
              </w:rPr>
              <w:t xml:space="preserve"> of September</w:t>
            </w:r>
          </w:p>
        </w:tc>
      </w:tr>
      <w:tr w:rsidR="00661C97" w:rsidRPr="00805A70" w14:paraId="75E173F7" w14:textId="77777777" w:rsidTr="007232A2">
        <w:tc>
          <w:tcPr>
            <w:cnfStyle w:val="001000000000" w:firstRow="0" w:lastRow="0" w:firstColumn="1" w:lastColumn="0" w:oddVBand="0" w:evenVBand="0" w:oddHBand="0" w:evenHBand="0" w:firstRowFirstColumn="0" w:firstRowLastColumn="0" w:lastRowFirstColumn="0" w:lastRowLastColumn="0"/>
            <w:tcW w:w="580" w:type="dxa"/>
          </w:tcPr>
          <w:p w14:paraId="7A9ED5E7" w14:textId="63EB7EED" w:rsidR="003403A3" w:rsidRPr="00805A70" w:rsidRDefault="00AE792A" w:rsidP="00285E4A">
            <w:pPr>
              <w:spacing w:after="0" w:line="240" w:lineRule="auto"/>
              <w:rPr>
                <w:lang w:val="en-US"/>
              </w:rPr>
            </w:pPr>
            <w:r w:rsidRPr="00805A70">
              <w:rPr>
                <w:lang w:val="en-US"/>
              </w:rPr>
              <w:t>5-</w:t>
            </w:r>
          </w:p>
        </w:tc>
        <w:tc>
          <w:tcPr>
            <w:tcW w:w="4235" w:type="dxa"/>
          </w:tcPr>
          <w:p w14:paraId="3A80E5F2" w14:textId="235A9403" w:rsidR="003403A3" w:rsidRPr="00805A70" w:rsidRDefault="005A0C06" w:rsidP="00805A70">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rsidRPr="00805A70">
              <w:rPr>
                <w:lang w:val="en-US"/>
              </w:rPr>
              <w:t>Summary</w:t>
            </w:r>
            <w:r w:rsidR="004B2CD5" w:rsidRPr="00805A70">
              <w:rPr>
                <w:lang w:val="en-US"/>
              </w:rPr>
              <w:t xml:space="preserve"> </w:t>
            </w:r>
            <w:r w:rsidRPr="00805A70">
              <w:rPr>
                <w:lang w:val="en-US"/>
              </w:rPr>
              <w:t xml:space="preserve">of key elements from </w:t>
            </w:r>
            <w:r w:rsidR="004B2CD5" w:rsidRPr="00805A70">
              <w:rPr>
                <w:lang w:val="en-US"/>
              </w:rPr>
              <w:t>qualitative interviews</w:t>
            </w:r>
          </w:p>
        </w:tc>
        <w:tc>
          <w:tcPr>
            <w:tcW w:w="1559" w:type="dxa"/>
          </w:tcPr>
          <w:p w14:paraId="7E024575" w14:textId="6CD2072D" w:rsidR="003403A3" w:rsidRPr="00805A70" w:rsidRDefault="00552091" w:rsidP="00661C97">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sidRPr="00805A70">
              <w:rPr>
                <w:lang w:val="en-US"/>
              </w:rPr>
              <w:t>HI</w:t>
            </w:r>
          </w:p>
        </w:tc>
        <w:tc>
          <w:tcPr>
            <w:tcW w:w="1314" w:type="dxa"/>
          </w:tcPr>
          <w:p w14:paraId="382FA3D3" w14:textId="2FDCD5C2" w:rsidR="003403A3" w:rsidRPr="00805A70" w:rsidRDefault="00552091" w:rsidP="00661C97">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sidRPr="00805A70">
              <w:rPr>
                <w:lang w:val="en-US"/>
              </w:rPr>
              <w:t>Internal</w:t>
            </w:r>
          </w:p>
        </w:tc>
        <w:tc>
          <w:tcPr>
            <w:tcW w:w="2088" w:type="dxa"/>
            <w:gridSpan w:val="2"/>
          </w:tcPr>
          <w:p w14:paraId="16AC951F" w14:textId="4C40811A" w:rsidR="003403A3" w:rsidRPr="00805A70" w:rsidRDefault="00552091" w:rsidP="00805A70">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rsidRPr="00805A70">
              <w:rPr>
                <w:lang w:val="en-US"/>
              </w:rPr>
              <w:t>By 5</w:t>
            </w:r>
            <w:r w:rsidRPr="00805A70">
              <w:rPr>
                <w:vertAlign w:val="superscript"/>
                <w:lang w:val="en-US"/>
              </w:rPr>
              <w:t>th</w:t>
            </w:r>
            <w:r w:rsidRPr="00805A70">
              <w:rPr>
                <w:lang w:val="en-US"/>
              </w:rPr>
              <w:t xml:space="preserve"> of September</w:t>
            </w:r>
          </w:p>
        </w:tc>
      </w:tr>
      <w:tr w:rsidR="00661C97" w:rsidRPr="00805A70" w14:paraId="6763A530" w14:textId="77777777" w:rsidTr="00723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 w:type="dxa"/>
          </w:tcPr>
          <w:p w14:paraId="71943178" w14:textId="4CFE35B0" w:rsidR="00552091" w:rsidRPr="00805A70" w:rsidRDefault="00552091" w:rsidP="00285E4A">
            <w:pPr>
              <w:spacing w:after="0" w:line="240" w:lineRule="auto"/>
              <w:rPr>
                <w:lang w:val="en-US"/>
              </w:rPr>
            </w:pPr>
            <w:r w:rsidRPr="00805A70">
              <w:rPr>
                <w:lang w:val="en-US"/>
              </w:rPr>
              <w:t>6-</w:t>
            </w:r>
          </w:p>
        </w:tc>
        <w:tc>
          <w:tcPr>
            <w:tcW w:w="4235" w:type="dxa"/>
          </w:tcPr>
          <w:p w14:paraId="5D3AC2A7" w14:textId="19C8E578" w:rsidR="00552091" w:rsidRPr="00805A70" w:rsidRDefault="009C78B6" w:rsidP="00805A70">
            <w:pPr>
              <w:spacing w:after="0" w:line="240" w:lineRule="auto"/>
              <w:cnfStyle w:val="000000100000" w:firstRow="0" w:lastRow="0" w:firstColumn="0" w:lastColumn="0" w:oddVBand="0" w:evenVBand="0" w:oddHBand="1" w:evenHBand="0" w:firstRowFirstColumn="0" w:firstRowLastColumn="0" w:lastRowFirstColumn="0" w:lastRowLastColumn="0"/>
              <w:rPr>
                <w:lang w:val="en-US"/>
              </w:rPr>
            </w:pPr>
            <w:r w:rsidRPr="00805A70">
              <w:rPr>
                <w:lang w:val="en-US"/>
              </w:rPr>
              <w:t>I</w:t>
            </w:r>
            <w:r w:rsidR="00552091" w:rsidRPr="00805A70">
              <w:rPr>
                <w:lang w:val="en-US"/>
              </w:rPr>
              <w:t xml:space="preserve">ntermediate draft </w:t>
            </w:r>
            <w:r w:rsidRPr="00805A70">
              <w:rPr>
                <w:lang w:val="en-US"/>
              </w:rPr>
              <w:t>report</w:t>
            </w:r>
          </w:p>
        </w:tc>
        <w:tc>
          <w:tcPr>
            <w:tcW w:w="1559" w:type="dxa"/>
          </w:tcPr>
          <w:p w14:paraId="324A5676" w14:textId="2A4EE4BE" w:rsidR="00552091" w:rsidRPr="00805A70" w:rsidRDefault="00552091" w:rsidP="00661C97">
            <w:pPr>
              <w:spacing w:after="0" w:line="240" w:lineRule="auto"/>
              <w:jc w:val="center"/>
              <w:cnfStyle w:val="000000100000" w:firstRow="0" w:lastRow="0" w:firstColumn="0" w:lastColumn="0" w:oddVBand="0" w:evenVBand="0" w:oddHBand="1" w:evenHBand="0" w:firstRowFirstColumn="0" w:firstRowLastColumn="0" w:lastRowFirstColumn="0" w:lastRowLastColumn="0"/>
              <w:rPr>
                <w:lang w:val="en-US"/>
              </w:rPr>
            </w:pPr>
            <w:r w:rsidRPr="00805A70">
              <w:rPr>
                <w:lang w:val="en-US"/>
              </w:rPr>
              <w:t>HI</w:t>
            </w:r>
          </w:p>
        </w:tc>
        <w:tc>
          <w:tcPr>
            <w:tcW w:w="1314" w:type="dxa"/>
          </w:tcPr>
          <w:p w14:paraId="68E3C5E1" w14:textId="2FAA207F" w:rsidR="00552091" w:rsidRPr="00805A70" w:rsidRDefault="00552091" w:rsidP="00661C97">
            <w:pPr>
              <w:spacing w:after="0" w:line="240" w:lineRule="auto"/>
              <w:jc w:val="center"/>
              <w:cnfStyle w:val="000000100000" w:firstRow="0" w:lastRow="0" w:firstColumn="0" w:lastColumn="0" w:oddVBand="0" w:evenVBand="0" w:oddHBand="1" w:evenHBand="0" w:firstRowFirstColumn="0" w:firstRowLastColumn="0" w:lastRowFirstColumn="0" w:lastRowLastColumn="0"/>
              <w:rPr>
                <w:lang w:val="en-US"/>
              </w:rPr>
            </w:pPr>
            <w:r w:rsidRPr="00805A70">
              <w:rPr>
                <w:lang w:val="en-US"/>
              </w:rPr>
              <w:t>Internal</w:t>
            </w:r>
          </w:p>
        </w:tc>
        <w:tc>
          <w:tcPr>
            <w:tcW w:w="2088" w:type="dxa"/>
            <w:gridSpan w:val="2"/>
          </w:tcPr>
          <w:p w14:paraId="052B40DA" w14:textId="39D769B4" w:rsidR="00552091" w:rsidRPr="00805A70" w:rsidRDefault="00552091" w:rsidP="00805A70">
            <w:pPr>
              <w:spacing w:after="0" w:line="240" w:lineRule="auto"/>
              <w:cnfStyle w:val="000000100000" w:firstRow="0" w:lastRow="0" w:firstColumn="0" w:lastColumn="0" w:oddVBand="0" w:evenVBand="0" w:oddHBand="1" w:evenHBand="0" w:firstRowFirstColumn="0" w:firstRowLastColumn="0" w:lastRowFirstColumn="0" w:lastRowLastColumn="0"/>
              <w:rPr>
                <w:lang w:val="en-US"/>
              </w:rPr>
            </w:pPr>
            <w:r w:rsidRPr="00805A70">
              <w:rPr>
                <w:lang w:val="en-US"/>
              </w:rPr>
              <w:t xml:space="preserve">By </w:t>
            </w:r>
            <w:r w:rsidR="009C78B6" w:rsidRPr="00805A70">
              <w:rPr>
                <w:lang w:val="en-US"/>
              </w:rPr>
              <w:t>15</w:t>
            </w:r>
            <w:r w:rsidRPr="00805A70">
              <w:rPr>
                <w:vertAlign w:val="superscript"/>
                <w:lang w:val="en-US"/>
              </w:rPr>
              <w:t>th</w:t>
            </w:r>
            <w:r w:rsidRPr="00805A70">
              <w:rPr>
                <w:lang w:val="en-US"/>
              </w:rPr>
              <w:t xml:space="preserve"> of </w:t>
            </w:r>
            <w:r w:rsidR="009C78B6" w:rsidRPr="00805A70">
              <w:rPr>
                <w:lang w:val="en-US"/>
              </w:rPr>
              <w:t>September</w:t>
            </w:r>
            <w:r w:rsidRPr="00805A70">
              <w:rPr>
                <w:lang w:val="en-US"/>
              </w:rPr>
              <w:t xml:space="preserve"> </w:t>
            </w:r>
          </w:p>
        </w:tc>
      </w:tr>
      <w:tr w:rsidR="00661C97" w:rsidRPr="00805A70" w14:paraId="11BCD7E5" w14:textId="77777777" w:rsidTr="007232A2">
        <w:tc>
          <w:tcPr>
            <w:cnfStyle w:val="001000000000" w:firstRow="0" w:lastRow="0" w:firstColumn="1" w:lastColumn="0" w:oddVBand="0" w:evenVBand="0" w:oddHBand="0" w:evenHBand="0" w:firstRowFirstColumn="0" w:firstRowLastColumn="0" w:lastRowFirstColumn="0" w:lastRowLastColumn="0"/>
            <w:tcW w:w="580" w:type="dxa"/>
          </w:tcPr>
          <w:p w14:paraId="761D6FB6" w14:textId="67C5820E" w:rsidR="00552091" w:rsidRPr="00805A70" w:rsidRDefault="00552091" w:rsidP="00285E4A">
            <w:pPr>
              <w:spacing w:after="0" w:line="240" w:lineRule="auto"/>
              <w:rPr>
                <w:lang w:val="en-US"/>
              </w:rPr>
            </w:pPr>
            <w:r w:rsidRPr="00805A70">
              <w:rPr>
                <w:lang w:val="en-US"/>
              </w:rPr>
              <w:t>7-</w:t>
            </w:r>
          </w:p>
        </w:tc>
        <w:tc>
          <w:tcPr>
            <w:tcW w:w="4235" w:type="dxa"/>
          </w:tcPr>
          <w:p w14:paraId="625380BE" w14:textId="3C04BA2B" w:rsidR="00552091" w:rsidRPr="00805A70" w:rsidRDefault="009C78B6" w:rsidP="00805A70">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rsidRPr="00805A70">
              <w:rPr>
                <w:lang w:val="en-US"/>
              </w:rPr>
              <w:t>Final</w:t>
            </w:r>
            <w:r w:rsidR="00552091" w:rsidRPr="00805A70">
              <w:rPr>
                <w:lang w:val="en-US"/>
              </w:rPr>
              <w:t xml:space="preserve"> draft </w:t>
            </w:r>
            <w:r w:rsidRPr="00805A70">
              <w:rPr>
                <w:lang w:val="en-US"/>
              </w:rPr>
              <w:t>report</w:t>
            </w:r>
          </w:p>
        </w:tc>
        <w:tc>
          <w:tcPr>
            <w:tcW w:w="1559" w:type="dxa"/>
          </w:tcPr>
          <w:p w14:paraId="387EDAF5" w14:textId="1C0CD3CB" w:rsidR="00552091" w:rsidRPr="00805A70" w:rsidRDefault="00552091" w:rsidP="00661C97">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sidRPr="00805A70">
              <w:rPr>
                <w:lang w:val="en-US"/>
              </w:rPr>
              <w:t>HI</w:t>
            </w:r>
          </w:p>
        </w:tc>
        <w:tc>
          <w:tcPr>
            <w:tcW w:w="1314" w:type="dxa"/>
          </w:tcPr>
          <w:p w14:paraId="75A2ABFD" w14:textId="01B5A816" w:rsidR="00552091" w:rsidRPr="00805A70" w:rsidRDefault="00552091" w:rsidP="00661C97">
            <w:pPr>
              <w:spacing w:after="0" w:line="240" w:lineRule="auto"/>
              <w:jc w:val="center"/>
              <w:cnfStyle w:val="000000000000" w:firstRow="0" w:lastRow="0" w:firstColumn="0" w:lastColumn="0" w:oddVBand="0" w:evenVBand="0" w:oddHBand="0" w:evenHBand="0" w:firstRowFirstColumn="0" w:firstRowLastColumn="0" w:lastRowFirstColumn="0" w:lastRowLastColumn="0"/>
              <w:rPr>
                <w:lang w:val="en-US"/>
              </w:rPr>
            </w:pPr>
            <w:r w:rsidRPr="00805A70">
              <w:rPr>
                <w:lang w:val="en-US"/>
              </w:rPr>
              <w:t>Internal</w:t>
            </w:r>
          </w:p>
        </w:tc>
        <w:tc>
          <w:tcPr>
            <w:tcW w:w="2088" w:type="dxa"/>
            <w:gridSpan w:val="2"/>
          </w:tcPr>
          <w:p w14:paraId="7CACF195" w14:textId="2787077A" w:rsidR="00552091" w:rsidRPr="00805A70" w:rsidRDefault="00552091" w:rsidP="00805A70">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rsidRPr="00805A70">
              <w:rPr>
                <w:lang w:val="en-US"/>
              </w:rPr>
              <w:t>By 8</w:t>
            </w:r>
            <w:r w:rsidRPr="00805A70">
              <w:rPr>
                <w:vertAlign w:val="superscript"/>
                <w:lang w:val="en-US"/>
              </w:rPr>
              <w:t>th</w:t>
            </w:r>
            <w:r w:rsidRPr="00805A70">
              <w:rPr>
                <w:lang w:val="en-US"/>
              </w:rPr>
              <w:t xml:space="preserve"> of October </w:t>
            </w:r>
          </w:p>
        </w:tc>
      </w:tr>
      <w:tr w:rsidR="00552091" w:rsidRPr="00805A70" w14:paraId="67D4BDE9" w14:textId="77777777" w:rsidTr="00661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6"/>
          </w:tcPr>
          <w:p w14:paraId="1ACA8ECB" w14:textId="6625A15B" w:rsidR="00552091" w:rsidRPr="00805A70" w:rsidRDefault="00552091" w:rsidP="00285E4A">
            <w:pPr>
              <w:spacing w:after="0" w:line="240" w:lineRule="auto"/>
              <w:rPr>
                <w:lang w:val="en-US"/>
              </w:rPr>
            </w:pPr>
            <w:r w:rsidRPr="00805A70">
              <w:rPr>
                <w:lang w:val="en-US"/>
              </w:rPr>
              <w:t>Final document</w:t>
            </w:r>
          </w:p>
        </w:tc>
      </w:tr>
      <w:tr w:rsidR="00661C97" w:rsidRPr="00805A70" w14:paraId="034EB077" w14:textId="77777777" w:rsidTr="007232A2">
        <w:tc>
          <w:tcPr>
            <w:cnfStyle w:val="001000000000" w:firstRow="0" w:lastRow="0" w:firstColumn="1" w:lastColumn="0" w:oddVBand="0" w:evenVBand="0" w:oddHBand="0" w:evenHBand="0" w:firstRowFirstColumn="0" w:firstRowLastColumn="0" w:lastRowFirstColumn="0" w:lastRowLastColumn="0"/>
            <w:tcW w:w="580" w:type="dxa"/>
          </w:tcPr>
          <w:p w14:paraId="25A1F5D2" w14:textId="16B62A16" w:rsidR="00552091" w:rsidRPr="00805A70" w:rsidRDefault="00552091" w:rsidP="00285E4A">
            <w:pPr>
              <w:spacing w:after="0" w:line="240" w:lineRule="auto"/>
              <w:rPr>
                <w:lang w:val="en-US"/>
              </w:rPr>
            </w:pPr>
            <w:r w:rsidRPr="00805A70">
              <w:rPr>
                <w:lang w:val="en-US"/>
              </w:rPr>
              <w:t>8-</w:t>
            </w:r>
          </w:p>
        </w:tc>
        <w:tc>
          <w:tcPr>
            <w:tcW w:w="4235" w:type="dxa"/>
          </w:tcPr>
          <w:p w14:paraId="516050A8" w14:textId="67649C1B" w:rsidR="00552091" w:rsidRPr="00805A70" w:rsidRDefault="00552091" w:rsidP="00805A70">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rsidRPr="00805A70">
              <w:rPr>
                <w:lang w:val="en-US"/>
              </w:rPr>
              <w:t xml:space="preserve">Final report </w:t>
            </w:r>
          </w:p>
        </w:tc>
        <w:tc>
          <w:tcPr>
            <w:tcW w:w="1559" w:type="dxa"/>
          </w:tcPr>
          <w:p w14:paraId="77030EED" w14:textId="725C168A" w:rsidR="00552091" w:rsidRPr="00805A70" w:rsidRDefault="00552091" w:rsidP="00805A70">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rsidRPr="00805A70">
              <w:rPr>
                <w:lang w:val="en-US"/>
              </w:rPr>
              <w:t>HI</w:t>
            </w:r>
          </w:p>
        </w:tc>
        <w:tc>
          <w:tcPr>
            <w:tcW w:w="1314" w:type="dxa"/>
          </w:tcPr>
          <w:p w14:paraId="4B608864" w14:textId="1001B322" w:rsidR="00552091" w:rsidRPr="00805A70" w:rsidRDefault="00552091" w:rsidP="00805A70">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rsidRPr="00805A70">
              <w:rPr>
                <w:lang w:val="en-US"/>
              </w:rPr>
              <w:t>External</w:t>
            </w:r>
          </w:p>
        </w:tc>
        <w:tc>
          <w:tcPr>
            <w:tcW w:w="2088" w:type="dxa"/>
            <w:gridSpan w:val="2"/>
          </w:tcPr>
          <w:p w14:paraId="515D4C8D" w14:textId="32C34442" w:rsidR="00552091" w:rsidRPr="00805A70" w:rsidRDefault="00552091" w:rsidP="00805A70">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rsidRPr="00805A70">
              <w:rPr>
                <w:lang w:val="en-US"/>
              </w:rPr>
              <w:t>29 October 2023</w:t>
            </w:r>
          </w:p>
        </w:tc>
      </w:tr>
    </w:tbl>
    <w:p w14:paraId="1985E9C6" w14:textId="64E6ACF3" w:rsidR="002F609E" w:rsidRPr="00805A70" w:rsidRDefault="002F609E" w:rsidP="00285E4A">
      <w:pPr>
        <w:spacing w:after="0" w:line="240" w:lineRule="auto"/>
        <w:rPr>
          <w:lang w:val="en-US"/>
        </w:rPr>
      </w:pPr>
    </w:p>
    <w:p w14:paraId="0C232954" w14:textId="251C5DC9" w:rsidR="00811183" w:rsidRPr="00AB116A" w:rsidRDefault="00811183" w:rsidP="003F66B8">
      <w:pPr>
        <w:pStyle w:val="Paragraphedeliste"/>
        <w:numPr>
          <w:ilvl w:val="0"/>
          <w:numId w:val="45"/>
        </w:numPr>
        <w:jc w:val="both"/>
        <w:rPr>
          <w:lang w:val="en-US"/>
        </w:rPr>
      </w:pPr>
      <w:r w:rsidRPr="00AB116A">
        <w:rPr>
          <w:lang w:val="en-US"/>
        </w:rPr>
        <w:t xml:space="preserve">The consultant accepts that Humanity &amp; Inclusion may reproduce the methodological proposal and use the </w:t>
      </w:r>
      <w:r w:rsidR="00835312" w:rsidRPr="00AB116A">
        <w:rPr>
          <w:lang w:val="en-US"/>
        </w:rPr>
        <w:t>tools developed</w:t>
      </w:r>
      <w:r w:rsidRPr="00AB116A">
        <w:rPr>
          <w:lang w:val="en-US"/>
        </w:rPr>
        <w:t xml:space="preserve"> in other contexts or projects. </w:t>
      </w:r>
    </w:p>
    <w:p w14:paraId="130D3AA4" w14:textId="6C4765A8" w:rsidR="00661C97" w:rsidRDefault="00661C97" w:rsidP="00285E4A">
      <w:pPr>
        <w:spacing w:after="0" w:line="240" w:lineRule="auto"/>
        <w:rPr>
          <w:lang w:val="en-US"/>
        </w:rPr>
      </w:pPr>
      <w:r>
        <w:rPr>
          <w:lang w:val="en-US"/>
        </w:rPr>
        <w:br w:type="page"/>
      </w:r>
    </w:p>
    <w:p w14:paraId="2E4F25B1" w14:textId="48D863C5" w:rsidR="00A305E3" w:rsidRPr="000E7961" w:rsidRDefault="00A305E3" w:rsidP="003F66B8">
      <w:pPr>
        <w:spacing w:after="0" w:line="240" w:lineRule="auto"/>
        <w:jc w:val="both"/>
        <w:rPr>
          <w:b/>
          <w:lang w:val="en-US"/>
        </w:rPr>
      </w:pPr>
      <w:r>
        <w:rPr>
          <w:b/>
          <w:lang w:val="en-US"/>
        </w:rPr>
        <w:lastRenderedPageBreak/>
        <w:t>3</w:t>
      </w:r>
      <w:r w:rsidRPr="00841C78">
        <w:rPr>
          <w:b/>
          <w:lang w:val="en-US"/>
        </w:rPr>
        <w:t>-</w:t>
      </w:r>
      <w:r w:rsidR="000E7961">
        <w:rPr>
          <w:b/>
          <w:lang w:val="en-US"/>
        </w:rPr>
        <w:t>4</w:t>
      </w:r>
      <w:r w:rsidRPr="00841C78">
        <w:rPr>
          <w:b/>
          <w:lang w:val="en-US"/>
        </w:rPr>
        <w:t xml:space="preserve">- Mechanisms for communication and monitoring between the </w:t>
      </w:r>
      <w:r>
        <w:rPr>
          <w:b/>
          <w:lang w:val="en-US"/>
        </w:rPr>
        <w:t>C</w:t>
      </w:r>
      <w:r w:rsidRPr="00841C78">
        <w:rPr>
          <w:b/>
          <w:lang w:val="en-US"/>
        </w:rPr>
        <w:t xml:space="preserve">onsultant and </w:t>
      </w:r>
      <w:r>
        <w:rPr>
          <w:b/>
          <w:lang w:val="en-US"/>
        </w:rPr>
        <w:t>Humanity &amp; Inclusion</w:t>
      </w:r>
    </w:p>
    <w:p w14:paraId="0A6A9DB2" w14:textId="77777777" w:rsidR="00661C97" w:rsidRPr="00291F2C" w:rsidRDefault="00661C97" w:rsidP="003F66B8">
      <w:pPr>
        <w:spacing w:after="0" w:line="240" w:lineRule="auto"/>
        <w:jc w:val="both"/>
        <w:rPr>
          <w:sz w:val="10"/>
          <w:szCs w:val="10"/>
          <w:lang w:val="en-US"/>
        </w:rPr>
      </w:pPr>
    </w:p>
    <w:p w14:paraId="7481CB33" w14:textId="1EEC3588" w:rsidR="0034247F" w:rsidRDefault="0034247F" w:rsidP="003F66B8">
      <w:pPr>
        <w:spacing w:after="0" w:line="240" w:lineRule="auto"/>
        <w:jc w:val="both"/>
        <w:rPr>
          <w:lang w:val="en-US"/>
        </w:rPr>
      </w:pPr>
      <w:r w:rsidRPr="00805A70">
        <w:rPr>
          <w:lang w:val="en-US"/>
        </w:rPr>
        <w:t>The recruitment and service of the Consultant will be under the responsibility of the HI Advocacy Manager, which will act as contact person for the consultant for inquiries, clarifications and exchanges.</w:t>
      </w:r>
    </w:p>
    <w:p w14:paraId="66CE567B" w14:textId="77777777" w:rsidR="00661C97" w:rsidRPr="00AB116A" w:rsidRDefault="00661C97" w:rsidP="003F66B8">
      <w:pPr>
        <w:spacing w:after="0" w:line="240" w:lineRule="auto"/>
        <w:jc w:val="both"/>
        <w:rPr>
          <w:sz w:val="10"/>
          <w:szCs w:val="10"/>
          <w:lang w:val="en-US"/>
        </w:rPr>
      </w:pPr>
    </w:p>
    <w:p w14:paraId="325D5199" w14:textId="77777777" w:rsidR="0034247F" w:rsidRPr="00805A70" w:rsidRDefault="0034247F" w:rsidP="003F66B8">
      <w:pPr>
        <w:spacing w:after="0" w:line="240" w:lineRule="auto"/>
        <w:jc w:val="both"/>
        <w:rPr>
          <w:lang w:val="en-US"/>
        </w:rPr>
      </w:pPr>
      <w:r w:rsidRPr="00805A70">
        <w:rPr>
          <w:lang w:val="en-US"/>
        </w:rPr>
        <w:t>A kick-off briefing will be done in the beginning, in order to provide the Consultant with key information and guidance about the logic, the approach, and the elements to take into consideration.</w:t>
      </w:r>
    </w:p>
    <w:p w14:paraId="41102DFA" w14:textId="1137DBF8" w:rsidR="0034247F" w:rsidRDefault="0034247F" w:rsidP="003F66B8">
      <w:pPr>
        <w:spacing w:after="0" w:line="240" w:lineRule="auto"/>
        <w:jc w:val="both"/>
        <w:rPr>
          <w:lang w:val="en-US"/>
        </w:rPr>
      </w:pPr>
      <w:r w:rsidRPr="00805A70">
        <w:rPr>
          <w:lang w:val="en-US"/>
        </w:rPr>
        <w:t xml:space="preserve">A final evaluation will be conducted together with the Consultant (via a </w:t>
      </w:r>
      <w:r w:rsidR="005177BE" w:rsidRPr="00805A70">
        <w:rPr>
          <w:lang w:val="en-US"/>
        </w:rPr>
        <w:t>call</w:t>
      </w:r>
      <w:r w:rsidRPr="00805A70">
        <w:rPr>
          <w:lang w:val="en-US"/>
        </w:rPr>
        <w:t>) focusing on overall achievements of objectives and lessons learned.</w:t>
      </w:r>
    </w:p>
    <w:p w14:paraId="04472CCF" w14:textId="77777777" w:rsidR="003F66B8" w:rsidRPr="0034247F" w:rsidRDefault="003F66B8" w:rsidP="003F66B8">
      <w:pPr>
        <w:spacing w:after="0" w:line="240" w:lineRule="auto"/>
        <w:jc w:val="both"/>
        <w:rPr>
          <w:lang w:val="en-US"/>
        </w:rPr>
      </w:pPr>
    </w:p>
    <w:p w14:paraId="076002DD" w14:textId="77777777" w:rsidR="0034247F" w:rsidRPr="00AB116A" w:rsidRDefault="0034247F" w:rsidP="00805A70">
      <w:pPr>
        <w:spacing w:after="0" w:line="240" w:lineRule="auto"/>
        <w:rPr>
          <w:sz w:val="10"/>
          <w:szCs w:val="10"/>
          <w:lang w:val="en-US"/>
        </w:rPr>
      </w:pPr>
    </w:p>
    <w:p w14:paraId="35AAC889" w14:textId="5292A172" w:rsidR="00A305E3" w:rsidRPr="000E7961" w:rsidRDefault="00A305E3" w:rsidP="00285E4A">
      <w:pPr>
        <w:pStyle w:val="Titre2"/>
        <w:numPr>
          <w:ilvl w:val="0"/>
          <w:numId w:val="19"/>
        </w:numPr>
        <w:spacing w:before="0" w:line="240" w:lineRule="auto"/>
      </w:pPr>
      <w:r w:rsidRPr="000E7961">
        <w:t>Requested profile</w:t>
      </w:r>
    </w:p>
    <w:p w14:paraId="73DC082F" w14:textId="77777777" w:rsidR="00A305E3" w:rsidRPr="00AB116A" w:rsidRDefault="00A305E3" w:rsidP="00805A70">
      <w:pPr>
        <w:spacing w:after="0" w:line="240" w:lineRule="auto"/>
        <w:rPr>
          <w:sz w:val="10"/>
          <w:szCs w:val="10"/>
          <w:lang w:val="en-US"/>
        </w:rPr>
      </w:pPr>
    </w:p>
    <w:p w14:paraId="5B32D9CD" w14:textId="77777777" w:rsidR="00A305E3" w:rsidRPr="00CC45E5" w:rsidRDefault="00A305E3" w:rsidP="00805A70">
      <w:pPr>
        <w:pStyle w:val="Paragraphedeliste"/>
        <w:numPr>
          <w:ilvl w:val="1"/>
          <w:numId w:val="11"/>
        </w:numPr>
        <w:rPr>
          <w:b/>
          <w:bCs/>
          <w:iCs/>
          <w:lang w:val="en-US"/>
        </w:rPr>
      </w:pPr>
      <w:r w:rsidRPr="00BC6E5E">
        <w:rPr>
          <w:b/>
          <w:bCs/>
          <w:iCs/>
          <w:lang w:val="en-US"/>
        </w:rPr>
        <w:t xml:space="preserve"> </w:t>
      </w:r>
      <w:r w:rsidRPr="00CC45E5">
        <w:rPr>
          <w:b/>
          <w:bCs/>
          <w:iCs/>
          <w:lang w:val="en-US"/>
        </w:rPr>
        <w:t>Requested profile</w:t>
      </w:r>
    </w:p>
    <w:p w14:paraId="7DE837A9" w14:textId="64A400FE" w:rsidR="00A305E3" w:rsidRPr="00AB116A" w:rsidRDefault="00A305E3" w:rsidP="00805A70">
      <w:pPr>
        <w:spacing w:after="0" w:line="240" w:lineRule="auto"/>
        <w:rPr>
          <w:sz w:val="10"/>
          <w:szCs w:val="10"/>
          <w:lang w:val="en-US"/>
        </w:rPr>
      </w:pPr>
    </w:p>
    <w:p w14:paraId="02C70C95" w14:textId="40E20998" w:rsidR="0034247F" w:rsidRDefault="0034247F" w:rsidP="003F66B8">
      <w:pPr>
        <w:spacing w:after="0" w:line="240" w:lineRule="auto"/>
        <w:jc w:val="both"/>
        <w:rPr>
          <w:bCs/>
          <w:iCs/>
          <w:lang w:val="en-US"/>
        </w:rPr>
      </w:pPr>
      <w:r w:rsidRPr="00805A70">
        <w:rPr>
          <w:bCs/>
          <w:iCs/>
          <w:lang w:val="en-US"/>
        </w:rPr>
        <w:t xml:space="preserve">A Consultant with expertise in the fields of disability, gender-equality, education, as well as qualitative </w:t>
      </w:r>
      <w:r w:rsidR="00835312" w:rsidRPr="00805A70">
        <w:rPr>
          <w:bCs/>
          <w:iCs/>
          <w:lang w:val="en-US"/>
        </w:rPr>
        <w:t>research methods</w:t>
      </w:r>
      <w:r w:rsidRPr="00805A70">
        <w:rPr>
          <w:bCs/>
          <w:iCs/>
          <w:lang w:val="en-US"/>
        </w:rPr>
        <w:t>.</w:t>
      </w:r>
    </w:p>
    <w:p w14:paraId="6A55EA60" w14:textId="77777777" w:rsidR="0034247F" w:rsidRPr="00AB116A" w:rsidRDefault="0034247F" w:rsidP="00805A70">
      <w:pPr>
        <w:spacing w:after="0" w:line="240" w:lineRule="auto"/>
        <w:rPr>
          <w:sz w:val="10"/>
          <w:szCs w:val="10"/>
          <w:lang w:val="en-US"/>
        </w:rPr>
      </w:pPr>
    </w:p>
    <w:p w14:paraId="50AC58F0" w14:textId="77777777" w:rsidR="00A305E3" w:rsidRPr="00CC45E5" w:rsidRDefault="00A305E3" w:rsidP="00805A70">
      <w:pPr>
        <w:pStyle w:val="Paragraphedeliste"/>
        <w:numPr>
          <w:ilvl w:val="1"/>
          <w:numId w:val="11"/>
        </w:numPr>
        <w:rPr>
          <w:b/>
          <w:bCs/>
          <w:iCs/>
          <w:lang w:val="en-US"/>
        </w:rPr>
      </w:pPr>
      <w:r w:rsidRPr="00CC45E5">
        <w:rPr>
          <w:b/>
          <w:bCs/>
          <w:iCs/>
          <w:lang w:val="en-US"/>
        </w:rPr>
        <w:t xml:space="preserve"> Expertise</w:t>
      </w:r>
    </w:p>
    <w:p w14:paraId="7EDCC37A" w14:textId="77777777" w:rsidR="00A305E3" w:rsidRPr="00AB116A" w:rsidRDefault="00A305E3" w:rsidP="00805A70">
      <w:pPr>
        <w:spacing w:after="0" w:line="240" w:lineRule="auto"/>
        <w:rPr>
          <w:sz w:val="10"/>
          <w:szCs w:val="10"/>
          <w:lang w:val="en-US"/>
        </w:rPr>
      </w:pPr>
    </w:p>
    <w:p w14:paraId="50B94C82" w14:textId="799710CE" w:rsidR="0034247F" w:rsidRPr="00805A70" w:rsidRDefault="0034247F" w:rsidP="00805A70">
      <w:pPr>
        <w:tabs>
          <w:tab w:val="left" w:pos="284"/>
        </w:tabs>
        <w:spacing w:after="0" w:line="240" w:lineRule="auto"/>
        <w:rPr>
          <w:bCs/>
          <w:iCs/>
          <w:lang w:val="en-US"/>
        </w:rPr>
      </w:pPr>
      <w:r w:rsidRPr="00805A70">
        <w:rPr>
          <w:bCs/>
          <w:iCs/>
          <w:lang w:val="en-US"/>
        </w:rPr>
        <w:t>Mandatory:</w:t>
      </w:r>
    </w:p>
    <w:p w14:paraId="6FB90691" w14:textId="4AC06164" w:rsidR="0034247F" w:rsidRPr="00805A70" w:rsidRDefault="0034247F" w:rsidP="003F66B8">
      <w:pPr>
        <w:pStyle w:val="Paragraphedeliste"/>
        <w:numPr>
          <w:ilvl w:val="0"/>
          <w:numId w:val="40"/>
        </w:numPr>
        <w:tabs>
          <w:tab w:val="left" w:pos="284"/>
        </w:tabs>
        <w:jc w:val="both"/>
        <w:rPr>
          <w:bCs/>
          <w:iCs/>
          <w:lang w:val="en-US"/>
        </w:rPr>
      </w:pPr>
      <w:r w:rsidRPr="00805A70">
        <w:rPr>
          <w:bCs/>
          <w:iCs/>
          <w:lang w:val="en-US"/>
        </w:rPr>
        <w:t>Minimum Diploma Master’s degree in a relevant field: Education; Social Sciences; Disability</w:t>
      </w:r>
      <w:r w:rsidR="00835312" w:rsidRPr="00805A70">
        <w:rPr>
          <w:bCs/>
          <w:iCs/>
          <w:lang w:val="en-US"/>
        </w:rPr>
        <w:t xml:space="preserve">; </w:t>
      </w:r>
      <w:r w:rsidR="00AB116A" w:rsidRPr="00805A70">
        <w:rPr>
          <w:bCs/>
          <w:iCs/>
          <w:lang w:val="en-US"/>
        </w:rPr>
        <w:t>Intersectionality;</w:t>
      </w:r>
      <w:r w:rsidRPr="00805A70">
        <w:rPr>
          <w:bCs/>
          <w:iCs/>
          <w:lang w:val="en-US"/>
        </w:rPr>
        <w:t xml:space="preserve"> Law; Political Science; International Development.</w:t>
      </w:r>
    </w:p>
    <w:p w14:paraId="283DE5BC" w14:textId="77777777" w:rsidR="0034247F" w:rsidRPr="00805A70" w:rsidRDefault="0034247F" w:rsidP="003F66B8">
      <w:pPr>
        <w:pStyle w:val="Paragraphedeliste"/>
        <w:numPr>
          <w:ilvl w:val="0"/>
          <w:numId w:val="40"/>
        </w:numPr>
        <w:tabs>
          <w:tab w:val="left" w:pos="284"/>
        </w:tabs>
        <w:jc w:val="both"/>
        <w:rPr>
          <w:bCs/>
          <w:iCs/>
          <w:lang w:val="en-US"/>
        </w:rPr>
      </w:pPr>
      <w:r w:rsidRPr="00805A70">
        <w:rPr>
          <w:bCs/>
          <w:iCs/>
          <w:lang w:val="en-US"/>
        </w:rPr>
        <w:t>At least 3 years of experience in writing quality publications (provide a list of publications).</w:t>
      </w:r>
    </w:p>
    <w:p w14:paraId="69A316EA" w14:textId="0002B311" w:rsidR="0034247F" w:rsidRPr="00805A70" w:rsidRDefault="0034247F" w:rsidP="003F66B8">
      <w:pPr>
        <w:pStyle w:val="Paragraphedeliste"/>
        <w:numPr>
          <w:ilvl w:val="0"/>
          <w:numId w:val="40"/>
        </w:numPr>
        <w:tabs>
          <w:tab w:val="left" w:pos="284"/>
        </w:tabs>
        <w:jc w:val="both"/>
        <w:rPr>
          <w:bCs/>
          <w:iCs/>
          <w:lang w:val="en-US"/>
        </w:rPr>
      </w:pPr>
      <w:r w:rsidRPr="00805A70">
        <w:rPr>
          <w:bCs/>
          <w:iCs/>
          <w:lang w:val="en-US"/>
        </w:rPr>
        <w:t>Experience working in educatio</w:t>
      </w:r>
      <w:r w:rsidR="00835312" w:rsidRPr="00805A70">
        <w:rPr>
          <w:bCs/>
          <w:iCs/>
          <w:lang w:val="en-US"/>
        </w:rPr>
        <w:t xml:space="preserve">n, disability-inclusion, </w:t>
      </w:r>
      <w:r w:rsidRPr="00805A70">
        <w:rPr>
          <w:bCs/>
          <w:iCs/>
          <w:lang w:val="en-US"/>
        </w:rPr>
        <w:t xml:space="preserve">gender equality, or </w:t>
      </w:r>
      <w:r w:rsidR="00835312" w:rsidRPr="00805A70">
        <w:rPr>
          <w:bCs/>
          <w:iCs/>
          <w:lang w:val="en-US"/>
        </w:rPr>
        <w:t xml:space="preserve">international </w:t>
      </w:r>
      <w:r w:rsidRPr="00805A70">
        <w:rPr>
          <w:bCs/>
          <w:iCs/>
          <w:lang w:val="en-US"/>
        </w:rPr>
        <w:t>development sectors.</w:t>
      </w:r>
    </w:p>
    <w:p w14:paraId="30B30300" w14:textId="5564FDBD" w:rsidR="0034247F" w:rsidRPr="00805A70" w:rsidRDefault="0034247F" w:rsidP="003F66B8">
      <w:pPr>
        <w:pStyle w:val="Paragraphedeliste"/>
        <w:numPr>
          <w:ilvl w:val="0"/>
          <w:numId w:val="40"/>
        </w:numPr>
        <w:tabs>
          <w:tab w:val="left" w:pos="284"/>
        </w:tabs>
        <w:jc w:val="both"/>
        <w:rPr>
          <w:bCs/>
          <w:iCs/>
          <w:lang w:val="en-US"/>
        </w:rPr>
      </w:pPr>
      <w:r w:rsidRPr="00805A70">
        <w:rPr>
          <w:bCs/>
          <w:iCs/>
          <w:lang w:val="en-US"/>
        </w:rPr>
        <w:t xml:space="preserve">Excellent knowledge of global education policies and </w:t>
      </w:r>
      <w:r w:rsidR="00835312" w:rsidRPr="00805A70">
        <w:rPr>
          <w:bCs/>
          <w:iCs/>
          <w:lang w:val="en-US"/>
        </w:rPr>
        <w:t xml:space="preserve">international </w:t>
      </w:r>
      <w:r w:rsidRPr="00805A70">
        <w:rPr>
          <w:bCs/>
          <w:iCs/>
          <w:lang w:val="en-US"/>
        </w:rPr>
        <w:t>development frameworks.</w:t>
      </w:r>
    </w:p>
    <w:p w14:paraId="7F958FE3" w14:textId="77777777" w:rsidR="00835312" w:rsidRPr="00805A70" w:rsidRDefault="0034247F" w:rsidP="003F66B8">
      <w:pPr>
        <w:pStyle w:val="Paragraphedeliste"/>
        <w:numPr>
          <w:ilvl w:val="0"/>
          <w:numId w:val="40"/>
        </w:numPr>
        <w:tabs>
          <w:tab w:val="left" w:pos="284"/>
        </w:tabs>
        <w:jc w:val="both"/>
        <w:rPr>
          <w:bCs/>
          <w:iCs/>
          <w:lang w:val="en-US"/>
        </w:rPr>
      </w:pPr>
      <w:r w:rsidRPr="00805A70">
        <w:rPr>
          <w:bCs/>
          <w:iCs/>
          <w:lang w:val="en-US"/>
        </w:rPr>
        <w:t>Excellent analytical skills.</w:t>
      </w:r>
    </w:p>
    <w:p w14:paraId="1B663679" w14:textId="77777777" w:rsidR="00835312" w:rsidRPr="00805A70" w:rsidRDefault="0034247F" w:rsidP="003F66B8">
      <w:pPr>
        <w:pStyle w:val="Paragraphedeliste"/>
        <w:numPr>
          <w:ilvl w:val="0"/>
          <w:numId w:val="40"/>
        </w:numPr>
        <w:tabs>
          <w:tab w:val="left" w:pos="284"/>
        </w:tabs>
        <w:jc w:val="both"/>
        <w:rPr>
          <w:bCs/>
          <w:iCs/>
          <w:lang w:val="en-US"/>
        </w:rPr>
      </w:pPr>
      <w:r w:rsidRPr="00805A70">
        <w:rPr>
          <w:bCs/>
          <w:iCs/>
          <w:lang w:val="en-US"/>
        </w:rPr>
        <w:t>IT skills - MS Office applications.</w:t>
      </w:r>
    </w:p>
    <w:p w14:paraId="7AB42572" w14:textId="77777777" w:rsidR="00835312" w:rsidRPr="00805A70" w:rsidRDefault="00835312" w:rsidP="003F66B8">
      <w:pPr>
        <w:pStyle w:val="Paragraphedeliste"/>
        <w:numPr>
          <w:ilvl w:val="0"/>
          <w:numId w:val="40"/>
        </w:numPr>
        <w:tabs>
          <w:tab w:val="left" w:pos="284"/>
        </w:tabs>
        <w:jc w:val="both"/>
        <w:rPr>
          <w:bCs/>
          <w:iCs/>
          <w:lang w:val="en-US"/>
        </w:rPr>
      </w:pPr>
      <w:r w:rsidRPr="00805A70">
        <w:rPr>
          <w:bCs/>
          <w:iCs/>
          <w:lang w:val="en-US"/>
        </w:rPr>
        <w:t xml:space="preserve">Good proficiency in </w:t>
      </w:r>
      <w:r w:rsidR="0034247F" w:rsidRPr="00805A70">
        <w:rPr>
          <w:bCs/>
          <w:iCs/>
          <w:lang w:val="en-US"/>
        </w:rPr>
        <w:t>French and English mandatory</w:t>
      </w:r>
      <w:r w:rsidRPr="00805A70">
        <w:rPr>
          <w:bCs/>
          <w:iCs/>
          <w:lang w:val="en-US"/>
        </w:rPr>
        <w:t>, written and oral</w:t>
      </w:r>
      <w:r w:rsidR="0034247F" w:rsidRPr="00805A70">
        <w:rPr>
          <w:bCs/>
          <w:iCs/>
          <w:lang w:val="en-US"/>
        </w:rPr>
        <w:t>.</w:t>
      </w:r>
    </w:p>
    <w:p w14:paraId="68C9753B" w14:textId="679FDB7C" w:rsidR="0034247F" w:rsidRPr="00805A70" w:rsidRDefault="0034247F" w:rsidP="003F66B8">
      <w:pPr>
        <w:pStyle w:val="Paragraphedeliste"/>
        <w:numPr>
          <w:ilvl w:val="0"/>
          <w:numId w:val="40"/>
        </w:numPr>
        <w:tabs>
          <w:tab w:val="left" w:pos="284"/>
        </w:tabs>
        <w:jc w:val="both"/>
        <w:rPr>
          <w:bCs/>
          <w:iCs/>
          <w:lang w:val="en-US"/>
        </w:rPr>
      </w:pPr>
      <w:r w:rsidRPr="00805A70">
        <w:rPr>
          <w:bCs/>
          <w:iCs/>
          <w:lang w:val="en-US"/>
        </w:rPr>
        <w:t>Understanding and adherence to HI’s values and ethics.</w:t>
      </w:r>
    </w:p>
    <w:p w14:paraId="2A4F129C" w14:textId="77777777" w:rsidR="00835312" w:rsidRPr="00AB116A" w:rsidRDefault="00835312" w:rsidP="003F66B8">
      <w:pPr>
        <w:spacing w:after="0" w:line="240" w:lineRule="auto"/>
        <w:jc w:val="both"/>
        <w:rPr>
          <w:sz w:val="10"/>
          <w:szCs w:val="10"/>
          <w:lang w:val="en-US"/>
        </w:rPr>
      </w:pPr>
    </w:p>
    <w:p w14:paraId="7ABD6BB4" w14:textId="36037321" w:rsidR="0034247F" w:rsidRPr="00805A70" w:rsidRDefault="0034247F" w:rsidP="003F66B8">
      <w:pPr>
        <w:tabs>
          <w:tab w:val="left" w:pos="284"/>
        </w:tabs>
        <w:spacing w:after="0" w:line="240" w:lineRule="auto"/>
        <w:jc w:val="both"/>
        <w:rPr>
          <w:bCs/>
          <w:iCs/>
          <w:lang w:val="en-US"/>
        </w:rPr>
      </w:pPr>
      <w:r w:rsidRPr="00805A70">
        <w:rPr>
          <w:bCs/>
          <w:iCs/>
          <w:lang w:val="en-US"/>
        </w:rPr>
        <w:t>Desired:</w:t>
      </w:r>
    </w:p>
    <w:p w14:paraId="4FD9E375" w14:textId="40B3A5A9" w:rsidR="0034247F" w:rsidRPr="00805A70" w:rsidRDefault="0034247F" w:rsidP="003F66B8">
      <w:pPr>
        <w:pStyle w:val="Paragraphedeliste"/>
        <w:numPr>
          <w:ilvl w:val="0"/>
          <w:numId w:val="41"/>
        </w:numPr>
        <w:tabs>
          <w:tab w:val="left" w:pos="284"/>
        </w:tabs>
        <w:jc w:val="both"/>
        <w:rPr>
          <w:bCs/>
          <w:iCs/>
          <w:lang w:val="en-US"/>
        </w:rPr>
      </w:pPr>
      <w:r w:rsidRPr="00805A70">
        <w:rPr>
          <w:bCs/>
          <w:iCs/>
          <w:lang w:val="en-US"/>
        </w:rPr>
        <w:t>Experience with an international non-governmental organization</w:t>
      </w:r>
      <w:r w:rsidR="00835312" w:rsidRPr="00805A70">
        <w:rPr>
          <w:bCs/>
          <w:iCs/>
          <w:lang w:val="en-US"/>
        </w:rPr>
        <w:t>.</w:t>
      </w:r>
    </w:p>
    <w:p w14:paraId="74F7DE23" w14:textId="77777777" w:rsidR="0034247F" w:rsidRPr="00805A70" w:rsidRDefault="0034247F" w:rsidP="00805A70">
      <w:pPr>
        <w:tabs>
          <w:tab w:val="left" w:pos="284"/>
        </w:tabs>
        <w:spacing w:after="0" w:line="240" w:lineRule="auto"/>
        <w:ind w:left="720"/>
        <w:rPr>
          <w:bCs/>
          <w:iCs/>
          <w:lang w:val="en-US"/>
        </w:rPr>
      </w:pPr>
    </w:p>
    <w:p w14:paraId="6411CE5D" w14:textId="46E711F2" w:rsidR="0034247F" w:rsidRPr="0034247F" w:rsidRDefault="0034247F" w:rsidP="003F66B8">
      <w:pPr>
        <w:tabs>
          <w:tab w:val="left" w:pos="284"/>
        </w:tabs>
        <w:spacing w:after="0" w:line="240" w:lineRule="auto"/>
        <w:jc w:val="both"/>
        <w:rPr>
          <w:bCs/>
          <w:iCs/>
          <w:lang w:val="en-US"/>
        </w:rPr>
      </w:pPr>
      <w:r w:rsidRPr="00805A70">
        <w:rPr>
          <w:bCs/>
          <w:iCs/>
          <w:lang w:val="en-US"/>
        </w:rPr>
        <w:t>HI values diversity, we welcome and encourage applications of candidates from all gender, ethnicity, nationality or disability</w:t>
      </w:r>
      <w:r w:rsidR="00835312" w:rsidRPr="00805A70">
        <w:rPr>
          <w:bCs/>
          <w:iCs/>
          <w:lang w:val="en-US"/>
        </w:rPr>
        <w:t>.</w:t>
      </w:r>
    </w:p>
    <w:p w14:paraId="030FC1EB" w14:textId="6857AFEE" w:rsidR="00661C97" w:rsidRDefault="00661C97" w:rsidP="00805A70">
      <w:pPr>
        <w:tabs>
          <w:tab w:val="left" w:pos="284"/>
        </w:tabs>
        <w:spacing w:after="0" w:line="240" w:lineRule="auto"/>
        <w:ind w:left="720"/>
        <w:rPr>
          <w:rFonts w:cs="Arial"/>
          <w:lang w:val="en-US"/>
        </w:rPr>
      </w:pPr>
      <w:r>
        <w:rPr>
          <w:rFonts w:cs="Arial"/>
          <w:lang w:val="en-US"/>
        </w:rPr>
        <w:br w:type="page"/>
      </w:r>
    </w:p>
    <w:p w14:paraId="0E8F0946" w14:textId="5DD9A70D" w:rsidR="00A305E3" w:rsidRPr="000E7961" w:rsidRDefault="00A305E3" w:rsidP="00285E4A">
      <w:pPr>
        <w:pStyle w:val="Titre2"/>
        <w:numPr>
          <w:ilvl w:val="0"/>
          <w:numId w:val="19"/>
        </w:numPr>
        <w:spacing w:before="0" w:line="240" w:lineRule="auto"/>
      </w:pPr>
      <w:r w:rsidRPr="000E7961">
        <w:lastRenderedPageBreak/>
        <w:t>Application process</w:t>
      </w:r>
    </w:p>
    <w:p w14:paraId="20637F0D" w14:textId="77777777" w:rsidR="00A305E3" w:rsidRPr="00B462F0" w:rsidRDefault="00A305E3" w:rsidP="00805A70">
      <w:pPr>
        <w:spacing w:after="0" w:line="240" w:lineRule="auto"/>
        <w:rPr>
          <w:sz w:val="10"/>
          <w:szCs w:val="10"/>
          <w:lang w:val="en-US"/>
        </w:rPr>
      </w:pPr>
    </w:p>
    <w:p w14:paraId="240DDE2E" w14:textId="67165F7C" w:rsidR="00A305E3" w:rsidRDefault="00A305E3" w:rsidP="00805A70">
      <w:pPr>
        <w:spacing w:after="0" w:line="240" w:lineRule="auto"/>
        <w:rPr>
          <w:lang w:val="en-US"/>
        </w:rPr>
      </w:pPr>
      <w:r w:rsidRPr="00805A70">
        <w:rPr>
          <w:lang w:val="en-US"/>
        </w:rPr>
        <w:t>Applications must include:</w:t>
      </w:r>
    </w:p>
    <w:p w14:paraId="605A133A" w14:textId="1BC06458" w:rsidR="00271674" w:rsidRPr="00B462F0" w:rsidRDefault="00271674" w:rsidP="00805A70">
      <w:pPr>
        <w:spacing w:after="0" w:line="240" w:lineRule="auto"/>
        <w:rPr>
          <w:sz w:val="10"/>
          <w:szCs w:val="10"/>
          <w:lang w:val="en-US"/>
        </w:rPr>
      </w:pPr>
    </w:p>
    <w:p w14:paraId="3ED6411C" w14:textId="1E4427AB" w:rsidR="00271674" w:rsidRPr="00271674" w:rsidRDefault="00271674" w:rsidP="00271674">
      <w:pPr>
        <w:pStyle w:val="Paragraphedeliste"/>
        <w:numPr>
          <w:ilvl w:val="0"/>
          <w:numId w:val="46"/>
        </w:numPr>
        <w:rPr>
          <w:lang w:val="en-US"/>
        </w:rPr>
      </w:pPr>
      <w:r w:rsidRPr="00271674">
        <w:rPr>
          <w:lang w:val="en-US"/>
        </w:rPr>
        <w:t xml:space="preserve">Individual : </w:t>
      </w:r>
    </w:p>
    <w:p w14:paraId="13B263D8" w14:textId="77777777" w:rsidR="00271674" w:rsidRPr="00B462F0" w:rsidRDefault="00271674" w:rsidP="00805A70">
      <w:pPr>
        <w:spacing w:after="0" w:line="240" w:lineRule="auto"/>
        <w:rPr>
          <w:sz w:val="10"/>
          <w:szCs w:val="10"/>
          <w:lang w:val="en-US"/>
        </w:rPr>
      </w:pPr>
    </w:p>
    <w:p w14:paraId="431156FD" w14:textId="2F030F4E" w:rsidR="00A305E3" w:rsidRDefault="00A305E3" w:rsidP="00805A70">
      <w:pPr>
        <w:pStyle w:val="Paragraphedeliste"/>
        <w:numPr>
          <w:ilvl w:val="0"/>
          <w:numId w:val="14"/>
        </w:numPr>
        <w:rPr>
          <w:lang w:val="en-US"/>
        </w:rPr>
      </w:pPr>
      <w:r w:rsidRPr="00805A70">
        <w:rPr>
          <w:lang w:val="en-US"/>
        </w:rPr>
        <w:t>Curriculum Vitae (training, experience in the areas mentioned ab</w:t>
      </w:r>
      <w:r w:rsidR="00835312" w:rsidRPr="00805A70">
        <w:rPr>
          <w:lang w:val="en-US"/>
        </w:rPr>
        <w:t>ove, lists of key publications),</w:t>
      </w:r>
    </w:p>
    <w:p w14:paraId="236EFEFA" w14:textId="293A0C4F" w:rsidR="00271674" w:rsidRDefault="00271674" w:rsidP="00805A70">
      <w:pPr>
        <w:pStyle w:val="Paragraphedeliste"/>
        <w:numPr>
          <w:ilvl w:val="0"/>
          <w:numId w:val="14"/>
        </w:numPr>
        <w:rPr>
          <w:lang w:val="en-US"/>
        </w:rPr>
      </w:pPr>
      <w:r>
        <w:rPr>
          <w:lang w:val="en-US"/>
        </w:rPr>
        <w:t xml:space="preserve">ID card or passport of applicant </w:t>
      </w:r>
    </w:p>
    <w:p w14:paraId="3D8BDB52" w14:textId="77777777" w:rsidR="00271674" w:rsidRPr="00805A70" w:rsidRDefault="00271674" w:rsidP="00271674">
      <w:pPr>
        <w:pStyle w:val="Paragraphedeliste"/>
        <w:numPr>
          <w:ilvl w:val="0"/>
          <w:numId w:val="14"/>
        </w:numPr>
        <w:rPr>
          <w:lang w:val="en-US"/>
        </w:rPr>
      </w:pPr>
      <w:r w:rsidRPr="00805A70">
        <w:rPr>
          <w:lang w:val="en-US"/>
        </w:rPr>
        <w:t>References,</w:t>
      </w:r>
    </w:p>
    <w:p w14:paraId="3969B8C6" w14:textId="77777777" w:rsidR="00271674" w:rsidRPr="00805A70" w:rsidRDefault="00271674" w:rsidP="00271674">
      <w:pPr>
        <w:pStyle w:val="Paragraphedeliste"/>
        <w:numPr>
          <w:ilvl w:val="0"/>
          <w:numId w:val="14"/>
        </w:numPr>
        <w:rPr>
          <w:lang w:val="en-US"/>
        </w:rPr>
      </w:pPr>
      <w:r w:rsidRPr="00805A70">
        <w:rPr>
          <w:lang w:val="en-US"/>
        </w:rPr>
        <w:t>A letter of motivation,</w:t>
      </w:r>
    </w:p>
    <w:p w14:paraId="32F7087E" w14:textId="07E54BA1" w:rsidR="00271674" w:rsidRPr="00B462F0" w:rsidRDefault="00271674" w:rsidP="00B462F0">
      <w:pPr>
        <w:spacing w:after="0" w:line="240" w:lineRule="auto"/>
        <w:rPr>
          <w:sz w:val="10"/>
          <w:szCs w:val="10"/>
          <w:lang w:val="en-US"/>
        </w:rPr>
      </w:pPr>
    </w:p>
    <w:p w14:paraId="4B45182E" w14:textId="6336EB2E" w:rsidR="00271674" w:rsidRPr="00271674" w:rsidRDefault="00271674" w:rsidP="00271674">
      <w:pPr>
        <w:pStyle w:val="Paragraphedeliste"/>
        <w:numPr>
          <w:ilvl w:val="0"/>
          <w:numId w:val="46"/>
        </w:numPr>
        <w:rPr>
          <w:lang w:val="en-US"/>
        </w:rPr>
      </w:pPr>
      <w:r w:rsidRPr="00271674">
        <w:rPr>
          <w:lang w:val="en-US"/>
        </w:rPr>
        <w:t xml:space="preserve">Company : </w:t>
      </w:r>
    </w:p>
    <w:p w14:paraId="0C141AD6" w14:textId="3AEB0C87" w:rsidR="00271674" w:rsidRDefault="00271674" w:rsidP="00805A70">
      <w:pPr>
        <w:pStyle w:val="Paragraphedeliste"/>
        <w:numPr>
          <w:ilvl w:val="0"/>
          <w:numId w:val="14"/>
        </w:numPr>
        <w:rPr>
          <w:lang w:val="en-US"/>
        </w:rPr>
      </w:pPr>
      <w:r>
        <w:rPr>
          <w:lang w:val="en-US"/>
        </w:rPr>
        <w:t>Registration of company as consultant</w:t>
      </w:r>
    </w:p>
    <w:p w14:paraId="664C5A7A" w14:textId="1F34D9BA" w:rsidR="00271674" w:rsidRPr="00805A70" w:rsidRDefault="003F66B8" w:rsidP="00805A70">
      <w:pPr>
        <w:pStyle w:val="Paragraphedeliste"/>
        <w:numPr>
          <w:ilvl w:val="0"/>
          <w:numId w:val="14"/>
        </w:numPr>
        <w:rPr>
          <w:lang w:val="en-US"/>
        </w:rPr>
      </w:pPr>
      <w:r>
        <w:rPr>
          <w:lang w:val="en-US"/>
        </w:rPr>
        <w:t>Declaration of integrity filled out and signed</w:t>
      </w:r>
    </w:p>
    <w:p w14:paraId="028E956B" w14:textId="1A175B81" w:rsidR="00271674" w:rsidRDefault="003F66B8" w:rsidP="00805A70">
      <w:pPr>
        <w:pStyle w:val="Paragraphedeliste"/>
        <w:numPr>
          <w:ilvl w:val="0"/>
          <w:numId w:val="14"/>
        </w:numPr>
        <w:rPr>
          <w:lang w:val="en-US"/>
        </w:rPr>
      </w:pPr>
      <w:r>
        <w:rPr>
          <w:lang w:val="en-US"/>
        </w:rPr>
        <w:t xml:space="preserve">HI Good Practices </w:t>
      </w:r>
      <w:r w:rsidR="00DE56B7">
        <w:rPr>
          <w:lang w:val="en-US"/>
        </w:rPr>
        <w:t>filled out and signed</w:t>
      </w:r>
    </w:p>
    <w:p w14:paraId="33C7A6AB" w14:textId="73A20117" w:rsidR="00433949" w:rsidRDefault="00DE56B7" w:rsidP="00805A70">
      <w:pPr>
        <w:pStyle w:val="Paragraphedeliste"/>
        <w:numPr>
          <w:ilvl w:val="0"/>
          <w:numId w:val="14"/>
        </w:numPr>
        <w:rPr>
          <w:lang w:val="en-US"/>
        </w:rPr>
      </w:pPr>
      <w:r>
        <w:rPr>
          <w:lang w:val="en-US"/>
        </w:rPr>
        <w:t>General Purchasing Conditions filled out and signed</w:t>
      </w:r>
      <w:r w:rsidDel="00DE56B7">
        <w:rPr>
          <w:lang w:val="en-US"/>
        </w:rPr>
        <w:t xml:space="preserve"> </w:t>
      </w:r>
    </w:p>
    <w:p w14:paraId="41489C92" w14:textId="77777777" w:rsidR="00271674" w:rsidRPr="00B462F0" w:rsidDel="00271674" w:rsidRDefault="00271674" w:rsidP="00B462F0">
      <w:pPr>
        <w:spacing w:after="0" w:line="240" w:lineRule="auto"/>
        <w:rPr>
          <w:sz w:val="10"/>
          <w:szCs w:val="10"/>
          <w:lang w:val="en-US"/>
        </w:rPr>
      </w:pPr>
    </w:p>
    <w:p w14:paraId="733E6CE6" w14:textId="5968A975" w:rsidR="00271674" w:rsidRPr="00271674" w:rsidRDefault="00A305E3" w:rsidP="00271674">
      <w:pPr>
        <w:pStyle w:val="Paragraphedeliste"/>
        <w:numPr>
          <w:ilvl w:val="0"/>
          <w:numId w:val="46"/>
        </w:numPr>
        <w:rPr>
          <w:lang w:val="en-US"/>
        </w:rPr>
      </w:pPr>
      <w:r w:rsidRPr="00271674">
        <w:rPr>
          <w:lang w:val="en-US"/>
        </w:rPr>
        <w:t xml:space="preserve">A </w:t>
      </w:r>
      <w:r w:rsidR="00E13FBA" w:rsidRPr="00271674">
        <w:rPr>
          <w:lang w:val="en-US"/>
        </w:rPr>
        <w:t>technical</w:t>
      </w:r>
      <w:r w:rsidR="00835312" w:rsidRPr="00271674">
        <w:rPr>
          <w:lang w:val="en-US"/>
        </w:rPr>
        <w:t xml:space="preserve"> </w:t>
      </w:r>
      <w:r w:rsidRPr="00271674">
        <w:rPr>
          <w:lang w:val="en-US"/>
        </w:rPr>
        <w:t xml:space="preserve">proposal including, a minima, </w:t>
      </w:r>
    </w:p>
    <w:p w14:paraId="75E598D0" w14:textId="2E9A294A" w:rsidR="00271674" w:rsidRDefault="00E13FBA" w:rsidP="00B462F0">
      <w:pPr>
        <w:pStyle w:val="Paragraphedeliste"/>
        <w:numPr>
          <w:ilvl w:val="0"/>
          <w:numId w:val="14"/>
        </w:numPr>
        <w:rPr>
          <w:lang w:val="en-US"/>
        </w:rPr>
      </w:pPr>
      <w:r w:rsidRPr="00271674">
        <w:rPr>
          <w:lang w:val="en-US"/>
        </w:rPr>
        <w:t>the proposed methods</w:t>
      </w:r>
      <w:r w:rsidR="00271674" w:rsidRPr="00271674">
        <w:rPr>
          <w:lang w:val="en-US"/>
        </w:rPr>
        <w:t>.</w:t>
      </w:r>
    </w:p>
    <w:p w14:paraId="79548B5A" w14:textId="6F2FAE8F" w:rsidR="00271674" w:rsidRPr="00271674" w:rsidRDefault="00271674" w:rsidP="00B462F0">
      <w:pPr>
        <w:pStyle w:val="Paragraphedeliste"/>
        <w:numPr>
          <w:ilvl w:val="0"/>
          <w:numId w:val="14"/>
        </w:numPr>
        <w:rPr>
          <w:lang w:val="en-US"/>
        </w:rPr>
      </w:pPr>
      <w:r w:rsidRPr="00271674">
        <w:rPr>
          <w:lang w:val="en-US"/>
        </w:rPr>
        <w:t xml:space="preserve"> a detailed calendar.</w:t>
      </w:r>
    </w:p>
    <w:p w14:paraId="44108AF0" w14:textId="3B72F77A" w:rsidR="00271674" w:rsidRPr="00B462F0" w:rsidRDefault="00271674" w:rsidP="00B462F0">
      <w:pPr>
        <w:spacing w:after="0" w:line="240" w:lineRule="auto"/>
        <w:rPr>
          <w:sz w:val="10"/>
          <w:szCs w:val="10"/>
          <w:lang w:val="en-US"/>
        </w:rPr>
      </w:pPr>
    </w:p>
    <w:p w14:paraId="33563A92" w14:textId="52883360" w:rsidR="00271674" w:rsidRDefault="00271674" w:rsidP="00271674">
      <w:pPr>
        <w:rPr>
          <w:lang w:val="en-US"/>
        </w:rPr>
      </w:pPr>
      <w:r>
        <w:rPr>
          <w:lang w:val="en-US"/>
        </w:rPr>
        <w:t xml:space="preserve">c) </w:t>
      </w:r>
      <w:r w:rsidRPr="00271674">
        <w:rPr>
          <w:lang w:val="en-US"/>
        </w:rPr>
        <w:t xml:space="preserve">A financial proposal including, </w:t>
      </w:r>
      <w:r w:rsidRPr="004145C9">
        <w:rPr>
          <w:lang w:val="en-US"/>
        </w:rPr>
        <w:t>a minima</w:t>
      </w:r>
      <w:r w:rsidRPr="00271674">
        <w:rPr>
          <w:lang w:val="en-US"/>
        </w:rPr>
        <w:t xml:space="preserve">, </w:t>
      </w:r>
    </w:p>
    <w:p w14:paraId="610BE9B6" w14:textId="58BFCD21" w:rsidR="00271674" w:rsidRDefault="00A305E3" w:rsidP="00271674">
      <w:pPr>
        <w:pStyle w:val="Paragraphedeliste"/>
        <w:numPr>
          <w:ilvl w:val="0"/>
          <w:numId w:val="14"/>
        </w:numPr>
        <w:rPr>
          <w:lang w:val="en-US"/>
        </w:rPr>
      </w:pPr>
      <w:r w:rsidRPr="00271674">
        <w:rPr>
          <w:lang w:val="en-US"/>
        </w:rPr>
        <w:t>detail</w:t>
      </w:r>
      <w:r w:rsidR="00271674">
        <w:rPr>
          <w:lang w:val="en-US"/>
        </w:rPr>
        <w:t>ed</w:t>
      </w:r>
      <w:r w:rsidRPr="00271674">
        <w:rPr>
          <w:lang w:val="en-US"/>
        </w:rPr>
        <w:t xml:space="preserve"> consultancy fees</w:t>
      </w:r>
    </w:p>
    <w:p w14:paraId="76079A9B" w14:textId="6D7CB8BD" w:rsidR="00271674" w:rsidRPr="00271674" w:rsidRDefault="00835312" w:rsidP="00271674">
      <w:pPr>
        <w:pStyle w:val="Paragraphedeliste"/>
        <w:numPr>
          <w:ilvl w:val="0"/>
          <w:numId w:val="14"/>
        </w:numPr>
        <w:rPr>
          <w:lang w:val="en-US"/>
        </w:rPr>
      </w:pPr>
      <w:r w:rsidRPr="00271674">
        <w:rPr>
          <w:lang w:val="en-US"/>
        </w:rPr>
        <w:t xml:space="preserve"> </w:t>
      </w:r>
      <w:r w:rsidR="00271674">
        <w:rPr>
          <w:lang w:val="en-US"/>
        </w:rPr>
        <w:t>details of all other expenses (</w:t>
      </w:r>
      <w:r w:rsidR="00271674" w:rsidRPr="00271674">
        <w:rPr>
          <w:lang w:val="en-US"/>
        </w:rPr>
        <w:t>travel</w:t>
      </w:r>
      <w:r w:rsidR="00271674">
        <w:rPr>
          <w:lang w:val="en-US"/>
        </w:rPr>
        <w:t>,</w:t>
      </w:r>
      <w:r w:rsidR="00271674" w:rsidRPr="00271674">
        <w:rPr>
          <w:lang w:val="en-US"/>
        </w:rPr>
        <w:t xml:space="preserve"> ac</w:t>
      </w:r>
      <w:r w:rsidR="00271674">
        <w:rPr>
          <w:lang w:val="en-US"/>
        </w:rPr>
        <w:t>commodation; etc)</w:t>
      </w:r>
    </w:p>
    <w:p w14:paraId="4163DB06" w14:textId="77777777" w:rsidR="00A305E3" w:rsidRDefault="00A305E3" w:rsidP="00805A70">
      <w:pPr>
        <w:spacing w:after="0" w:line="240" w:lineRule="auto"/>
        <w:rPr>
          <w:lang w:val="en-US"/>
        </w:rPr>
      </w:pPr>
    </w:p>
    <w:p w14:paraId="2ED6497A" w14:textId="5D0DCEBE" w:rsidR="00A305E3" w:rsidRPr="00486638" w:rsidRDefault="00A305E3" w:rsidP="00805A70">
      <w:pPr>
        <w:spacing w:after="0" w:line="240" w:lineRule="auto"/>
        <w:rPr>
          <w:lang w:val="en-US"/>
        </w:rPr>
      </w:pPr>
      <w:r>
        <w:rPr>
          <w:rFonts w:cs="Calibri"/>
          <w:lang w:val="en-US"/>
        </w:rPr>
        <w:t>Please, s</w:t>
      </w:r>
      <w:r w:rsidRPr="001E7B00">
        <w:rPr>
          <w:rFonts w:cs="Calibri"/>
          <w:lang w:val="en-US"/>
        </w:rPr>
        <w:t xml:space="preserve">end </w:t>
      </w:r>
      <w:r>
        <w:rPr>
          <w:rFonts w:cs="Calibri"/>
          <w:lang w:val="en-US"/>
        </w:rPr>
        <w:t xml:space="preserve">all required documents </w:t>
      </w:r>
      <w:r w:rsidRPr="00AC61E6">
        <w:rPr>
          <w:rFonts w:cs="Calibri"/>
          <w:b/>
          <w:color w:val="FF0000"/>
          <w:lang w:val="en-US"/>
        </w:rPr>
        <w:t xml:space="preserve">by </w:t>
      </w:r>
      <w:r w:rsidR="00805A70">
        <w:rPr>
          <w:rFonts w:cs="Calibri"/>
          <w:b/>
          <w:color w:val="FF0000"/>
          <w:lang w:val="en-US"/>
        </w:rPr>
        <w:t>2</w:t>
      </w:r>
      <w:r w:rsidR="00805A70" w:rsidRPr="00805A70">
        <w:rPr>
          <w:rFonts w:cs="Calibri"/>
          <w:b/>
          <w:color w:val="FF0000"/>
          <w:vertAlign w:val="superscript"/>
          <w:lang w:val="en-US"/>
        </w:rPr>
        <w:t>nd</w:t>
      </w:r>
      <w:r w:rsidR="00805A70">
        <w:rPr>
          <w:rFonts w:cs="Calibri"/>
          <w:b/>
          <w:color w:val="FF0000"/>
          <w:lang w:val="en-US"/>
        </w:rPr>
        <w:t xml:space="preserve"> </w:t>
      </w:r>
      <w:r w:rsidR="005A0C06">
        <w:rPr>
          <w:rFonts w:cs="Calibri"/>
          <w:b/>
          <w:color w:val="FF0000"/>
          <w:lang w:val="en-US"/>
        </w:rPr>
        <w:t>June 2023</w:t>
      </w:r>
      <w:r w:rsidR="005A0C06" w:rsidRPr="00AC61E6">
        <w:rPr>
          <w:rFonts w:cs="Calibri"/>
          <w:color w:val="FF0000"/>
          <w:lang w:val="en-US"/>
        </w:rPr>
        <w:t xml:space="preserve"> </w:t>
      </w:r>
      <w:r w:rsidRPr="0073097A">
        <w:rPr>
          <w:rFonts w:cs="Calibri"/>
          <w:lang w:val="en-US"/>
        </w:rPr>
        <w:t>to the following address:</w:t>
      </w:r>
      <w:r>
        <w:rPr>
          <w:rFonts w:cs="Calibri"/>
          <w:lang w:val="en-US"/>
        </w:rPr>
        <w:t xml:space="preserve"> </w:t>
      </w:r>
      <w:hyperlink r:id="rId12" w:history="1">
        <w:r w:rsidR="003D22C5" w:rsidRPr="003D22C5">
          <w:rPr>
            <w:rStyle w:val="Lienhypertexte"/>
            <w:lang w:val="en-GB"/>
          </w:rPr>
          <w:t>procurement@hi.org</w:t>
        </w:r>
      </w:hyperlink>
    </w:p>
    <w:p w14:paraId="77C19718" w14:textId="77777777" w:rsidR="00A305E3" w:rsidRPr="00A305E3" w:rsidRDefault="00A305E3" w:rsidP="00285E4A">
      <w:pPr>
        <w:spacing w:after="0" w:line="240" w:lineRule="auto"/>
        <w:rPr>
          <w:lang w:val="en-US"/>
        </w:rPr>
      </w:pPr>
    </w:p>
    <w:sectPr w:rsidR="00A305E3" w:rsidRPr="00A305E3" w:rsidSect="00AB116A">
      <w:headerReference w:type="default" r:id="rId13"/>
      <w:pgSz w:w="11906" w:h="16838"/>
      <w:pgMar w:top="993"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1A98E" w14:textId="77777777" w:rsidR="001903AC" w:rsidRDefault="001903AC" w:rsidP="00447245">
      <w:pPr>
        <w:spacing w:after="0" w:line="240" w:lineRule="auto"/>
      </w:pPr>
      <w:r>
        <w:separator/>
      </w:r>
    </w:p>
  </w:endnote>
  <w:endnote w:type="continuationSeparator" w:id="0">
    <w:p w14:paraId="747BF039" w14:textId="77777777" w:rsidR="001903AC" w:rsidRDefault="001903AC" w:rsidP="00447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02271" w14:textId="77777777" w:rsidR="001903AC" w:rsidRDefault="001903AC" w:rsidP="00447245">
      <w:pPr>
        <w:spacing w:after="0" w:line="240" w:lineRule="auto"/>
      </w:pPr>
      <w:r>
        <w:separator/>
      </w:r>
    </w:p>
  </w:footnote>
  <w:footnote w:type="continuationSeparator" w:id="0">
    <w:p w14:paraId="527029D7" w14:textId="77777777" w:rsidR="001903AC" w:rsidRDefault="001903AC" w:rsidP="00447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2E75A" w14:textId="77777777" w:rsidR="00553AE7" w:rsidRDefault="00553AE7" w:rsidP="00553AE7">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3FAE"/>
    <w:multiLevelType w:val="hybridMultilevel"/>
    <w:tmpl w:val="59DA66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33E14A6"/>
    <w:multiLevelType w:val="hybridMultilevel"/>
    <w:tmpl w:val="C4C8D41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68B3E5B"/>
    <w:multiLevelType w:val="hybridMultilevel"/>
    <w:tmpl w:val="D5E6504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15:restartNumberingAfterBreak="0">
    <w:nsid w:val="0DDE3B9C"/>
    <w:multiLevelType w:val="hybridMultilevel"/>
    <w:tmpl w:val="5AAE3510"/>
    <w:lvl w:ilvl="0" w:tplc="BEFAF8F4">
      <w:numFmt w:val="bullet"/>
      <w:lvlText w:val=""/>
      <w:lvlJc w:val="left"/>
      <w:pPr>
        <w:ind w:left="1070" w:hanging="710"/>
      </w:pPr>
      <w:rPr>
        <w:rFonts w:ascii="Symbol" w:eastAsia="Calibr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EC43270"/>
    <w:multiLevelType w:val="hybridMultilevel"/>
    <w:tmpl w:val="EB3A98D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00F3776"/>
    <w:multiLevelType w:val="hybridMultilevel"/>
    <w:tmpl w:val="DDE6561C"/>
    <w:lvl w:ilvl="0" w:tplc="06A079DA">
      <w:numFmt w:val="bullet"/>
      <w:lvlText w:val="o"/>
      <w:lvlJc w:val="left"/>
      <w:pPr>
        <w:ind w:left="938" w:hanging="360"/>
      </w:pPr>
      <w:rPr>
        <w:rFonts w:ascii="Courier New" w:eastAsia="Courier New" w:hAnsi="Courier New" w:cs="Courier New" w:hint="default"/>
        <w:b w:val="0"/>
        <w:bCs w:val="0"/>
        <w:i w:val="0"/>
        <w:iCs w:val="0"/>
        <w:w w:val="99"/>
        <w:sz w:val="22"/>
        <w:szCs w:val="22"/>
        <w:lang w:val="en-US" w:eastAsia="en-US" w:bidi="ar-SA"/>
      </w:rPr>
    </w:lvl>
    <w:lvl w:ilvl="1" w:tplc="39585F5E">
      <w:numFmt w:val="bullet"/>
      <w:lvlText w:val="•"/>
      <w:lvlJc w:val="left"/>
      <w:pPr>
        <w:ind w:left="1796" w:hanging="360"/>
      </w:pPr>
      <w:rPr>
        <w:rFonts w:hint="default"/>
        <w:lang w:val="en-US" w:eastAsia="en-US" w:bidi="ar-SA"/>
      </w:rPr>
    </w:lvl>
    <w:lvl w:ilvl="2" w:tplc="089CB248">
      <w:numFmt w:val="bullet"/>
      <w:lvlText w:val="•"/>
      <w:lvlJc w:val="left"/>
      <w:pPr>
        <w:ind w:left="2653" w:hanging="360"/>
      </w:pPr>
      <w:rPr>
        <w:rFonts w:hint="default"/>
        <w:lang w:val="en-US" w:eastAsia="en-US" w:bidi="ar-SA"/>
      </w:rPr>
    </w:lvl>
    <w:lvl w:ilvl="3" w:tplc="E946C862">
      <w:numFmt w:val="bullet"/>
      <w:lvlText w:val="•"/>
      <w:lvlJc w:val="left"/>
      <w:pPr>
        <w:ind w:left="3509" w:hanging="360"/>
      </w:pPr>
      <w:rPr>
        <w:rFonts w:hint="default"/>
        <w:lang w:val="en-US" w:eastAsia="en-US" w:bidi="ar-SA"/>
      </w:rPr>
    </w:lvl>
    <w:lvl w:ilvl="4" w:tplc="07F21B22">
      <w:numFmt w:val="bullet"/>
      <w:lvlText w:val="•"/>
      <w:lvlJc w:val="left"/>
      <w:pPr>
        <w:ind w:left="4366" w:hanging="360"/>
      </w:pPr>
      <w:rPr>
        <w:rFonts w:hint="default"/>
        <w:lang w:val="en-US" w:eastAsia="en-US" w:bidi="ar-SA"/>
      </w:rPr>
    </w:lvl>
    <w:lvl w:ilvl="5" w:tplc="413E7514">
      <w:numFmt w:val="bullet"/>
      <w:lvlText w:val="•"/>
      <w:lvlJc w:val="left"/>
      <w:pPr>
        <w:ind w:left="5223" w:hanging="360"/>
      </w:pPr>
      <w:rPr>
        <w:rFonts w:hint="default"/>
        <w:lang w:val="en-US" w:eastAsia="en-US" w:bidi="ar-SA"/>
      </w:rPr>
    </w:lvl>
    <w:lvl w:ilvl="6" w:tplc="E53CBC80">
      <w:numFmt w:val="bullet"/>
      <w:lvlText w:val="•"/>
      <w:lvlJc w:val="left"/>
      <w:pPr>
        <w:ind w:left="6079" w:hanging="360"/>
      </w:pPr>
      <w:rPr>
        <w:rFonts w:hint="default"/>
        <w:lang w:val="en-US" w:eastAsia="en-US" w:bidi="ar-SA"/>
      </w:rPr>
    </w:lvl>
    <w:lvl w:ilvl="7" w:tplc="F55A2F06">
      <w:numFmt w:val="bullet"/>
      <w:lvlText w:val="•"/>
      <w:lvlJc w:val="left"/>
      <w:pPr>
        <w:ind w:left="6936" w:hanging="360"/>
      </w:pPr>
      <w:rPr>
        <w:rFonts w:hint="default"/>
        <w:lang w:val="en-US" w:eastAsia="en-US" w:bidi="ar-SA"/>
      </w:rPr>
    </w:lvl>
    <w:lvl w:ilvl="8" w:tplc="824899EE">
      <w:numFmt w:val="bullet"/>
      <w:lvlText w:val="•"/>
      <w:lvlJc w:val="left"/>
      <w:pPr>
        <w:ind w:left="7793" w:hanging="360"/>
      </w:pPr>
      <w:rPr>
        <w:rFonts w:hint="default"/>
        <w:lang w:val="en-US" w:eastAsia="en-US" w:bidi="ar-SA"/>
      </w:rPr>
    </w:lvl>
  </w:abstractNum>
  <w:abstractNum w:abstractNumId="6" w15:restartNumberingAfterBreak="0">
    <w:nsid w:val="134D24E4"/>
    <w:multiLevelType w:val="hybridMultilevel"/>
    <w:tmpl w:val="EB8633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6667E4D"/>
    <w:multiLevelType w:val="hybridMultilevel"/>
    <w:tmpl w:val="1CB8239A"/>
    <w:lvl w:ilvl="0" w:tplc="224AF8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BA57A3"/>
    <w:multiLevelType w:val="hybridMultilevel"/>
    <w:tmpl w:val="95FE9D6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CF75754"/>
    <w:multiLevelType w:val="hybridMultilevel"/>
    <w:tmpl w:val="F67A648C"/>
    <w:lvl w:ilvl="0" w:tplc="E1808E0C">
      <w:start w:val="1"/>
      <w:numFmt w:val="upperLetter"/>
      <w:lvlText w:val="%1."/>
      <w:lvlJc w:val="left"/>
      <w:pPr>
        <w:ind w:left="720" w:hanging="360"/>
      </w:p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1F157EC"/>
    <w:multiLevelType w:val="hybridMultilevel"/>
    <w:tmpl w:val="83FE42B6"/>
    <w:lvl w:ilvl="0" w:tplc="820ED45C">
      <w:numFmt w:val="bullet"/>
      <w:lvlText w:val="•"/>
      <w:lvlJc w:val="left"/>
      <w:pPr>
        <w:ind w:left="1070" w:hanging="710"/>
      </w:pPr>
      <w:rPr>
        <w:rFonts w:ascii="Nunito" w:eastAsia="Calibri" w:hAnsi="Nunito"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3356332"/>
    <w:multiLevelType w:val="hybridMultilevel"/>
    <w:tmpl w:val="6C78CDB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4F046C3"/>
    <w:multiLevelType w:val="hybridMultilevel"/>
    <w:tmpl w:val="D0C23806"/>
    <w:lvl w:ilvl="0" w:tplc="9006D2C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513BF1"/>
    <w:multiLevelType w:val="hybridMultilevel"/>
    <w:tmpl w:val="DED07D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27D3314"/>
    <w:multiLevelType w:val="multilevel"/>
    <w:tmpl w:val="CD9A0C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201230"/>
    <w:multiLevelType w:val="hybridMultilevel"/>
    <w:tmpl w:val="7FB849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553158"/>
    <w:multiLevelType w:val="hybridMultilevel"/>
    <w:tmpl w:val="57887758"/>
    <w:lvl w:ilvl="0" w:tplc="6DEA10D6">
      <w:numFmt w:val="bullet"/>
      <w:lvlText w:val="-"/>
      <w:lvlJc w:val="left"/>
      <w:pPr>
        <w:ind w:left="1420" w:hanging="700"/>
      </w:pPr>
      <w:rPr>
        <w:rFonts w:ascii="Nunito" w:eastAsia="Calibri" w:hAnsi="Nunito"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7" w15:restartNumberingAfterBreak="0">
    <w:nsid w:val="39A23FE1"/>
    <w:multiLevelType w:val="hybridMultilevel"/>
    <w:tmpl w:val="A9EEBA1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B1F4CF1"/>
    <w:multiLevelType w:val="hybridMultilevel"/>
    <w:tmpl w:val="FC2CBF7E"/>
    <w:lvl w:ilvl="0" w:tplc="E4C27F1E">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5D5984"/>
    <w:multiLevelType w:val="hybridMultilevel"/>
    <w:tmpl w:val="D7BE300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F3513BC"/>
    <w:multiLevelType w:val="hybridMultilevel"/>
    <w:tmpl w:val="8BA4992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2D2404E"/>
    <w:multiLevelType w:val="hybridMultilevel"/>
    <w:tmpl w:val="64A2F9C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485242B0"/>
    <w:multiLevelType w:val="hybridMultilevel"/>
    <w:tmpl w:val="D7882BDA"/>
    <w:lvl w:ilvl="0" w:tplc="B6185F68">
      <w:start w:val="1"/>
      <w:numFmt w:val="decimal"/>
      <w:lvlText w:val="%1-"/>
      <w:lvlJc w:val="left"/>
      <w:pPr>
        <w:ind w:left="720" w:hanging="360"/>
      </w:pPr>
      <w:rPr>
        <w:rFonts w:hint="default"/>
        <w:color w:val="FFFFF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A33451F"/>
    <w:multiLevelType w:val="hybridMultilevel"/>
    <w:tmpl w:val="07E898CC"/>
    <w:lvl w:ilvl="0" w:tplc="F074593C">
      <w:start w:val="1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C105078"/>
    <w:multiLevelType w:val="hybridMultilevel"/>
    <w:tmpl w:val="7A765DA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4DB60FB3"/>
    <w:multiLevelType w:val="hybridMultilevel"/>
    <w:tmpl w:val="01A0C850"/>
    <w:lvl w:ilvl="0" w:tplc="080C0001">
      <w:start w:val="1"/>
      <w:numFmt w:val="bullet"/>
      <w:lvlText w:val=""/>
      <w:lvlJc w:val="left"/>
      <w:pPr>
        <w:ind w:left="1834" w:hanging="700"/>
      </w:pPr>
      <w:rPr>
        <w:rFonts w:ascii="Symbol" w:hAnsi="Symbol"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6" w15:restartNumberingAfterBreak="0">
    <w:nsid w:val="50103D11"/>
    <w:multiLevelType w:val="hybridMultilevel"/>
    <w:tmpl w:val="07EADF54"/>
    <w:lvl w:ilvl="0" w:tplc="9006D2C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0D67A89"/>
    <w:multiLevelType w:val="hybridMultilevel"/>
    <w:tmpl w:val="7BCCC58C"/>
    <w:lvl w:ilvl="0" w:tplc="080C0015">
      <w:start w:val="1"/>
      <w:numFmt w:val="upperLetter"/>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1A277D9"/>
    <w:multiLevelType w:val="hybridMultilevel"/>
    <w:tmpl w:val="2AD44E1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5A3B454F"/>
    <w:multiLevelType w:val="hybridMultilevel"/>
    <w:tmpl w:val="6F464A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DC75C2F"/>
    <w:multiLevelType w:val="hybridMultilevel"/>
    <w:tmpl w:val="F460AE40"/>
    <w:lvl w:ilvl="0" w:tplc="080C0001">
      <w:start w:val="1"/>
      <w:numFmt w:val="bullet"/>
      <w:lvlText w:val=""/>
      <w:lvlJc w:val="left"/>
      <w:pPr>
        <w:ind w:left="720" w:hanging="360"/>
      </w:pPr>
      <w:rPr>
        <w:rFonts w:ascii="Symbol" w:hAnsi="Symbol" w:hint="default"/>
      </w:rPr>
    </w:lvl>
    <w:lvl w:ilvl="1" w:tplc="5E5204A8">
      <w:numFmt w:val="bullet"/>
      <w:lvlText w:val="•"/>
      <w:lvlJc w:val="left"/>
      <w:pPr>
        <w:ind w:left="1790" w:hanging="710"/>
      </w:pPr>
      <w:rPr>
        <w:rFonts w:ascii="Nunito" w:eastAsia="Calibri" w:hAnsi="Nunito"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0B96F8E"/>
    <w:multiLevelType w:val="hybridMultilevel"/>
    <w:tmpl w:val="C8725F8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2912910"/>
    <w:multiLevelType w:val="hybridMultilevel"/>
    <w:tmpl w:val="1CCABB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65AD5E57"/>
    <w:multiLevelType w:val="hybridMultilevel"/>
    <w:tmpl w:val="277E8D28"/>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66312162"/>
    <w:multiLevelType w:val="hybridMultilevel"/>
    <w:tmpl w:val="E97AB2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67F32652"/>
    <w:multiLevelType w:val="hybridMultilevel"/>
    <w:tmpl w:val="0FD0137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A7D1AC8"/>
    <w:multiLevelType w:val="hybridMultilevel"/>
    <w:tmpl w:val="378C809E"/>
    <w:lvl w:ilvl="0" w:tplc="C8ECA9D8">
      <w:start w:val="2"/>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EDA7800"/>
    <w:multiLevelType w:val="hybridMultilevel"/>
    <w:tmpl w:val="F09C2C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6F456787"/>
    <w:multiLevelType w:val="hybridMultilevel"/>
    <w:tmpl w:val="CF2A1B10"/>
    <w:lvl w:ilvl="0" w:tplc="E4C27F1E">
      <w:start w:val="1"/>
      <w:numFmt w:val="bullet"/>
      <w:lvlText w:val="□"/>
      <w:lvlJc w:val="left"/>
      <w:pPr>
        <w:ind w:left="1440" w:hanging="360"/>
      </w:pPr>
      <w:rPr>
        <w:rFonts w:ascii="Arial"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15:restartNumberingAfterBreak="0">
    <w:nsid w:val="70DC75BA"/>
    <w:multiLevelType w:val="hybridMultilevel"/>
    <w:tmpl w:val="4E3837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71AA66DD"/>
    <w:multiLevelType w:val="hybridMultilevel"/>
    <w:tmpl w:val="D5C2E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72EE71DC"/>
    <w:multiLevelType w:val="hybridMultilevel"/>
    <w:tmpl w:val="94B46A74"/>
    <w:lvl w:ilvl="0" w:tplc="E4C27F1E">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3031C0E"/>
    <w:multiLevelType w:val="hybridMultilevel"/>
    <w:tmpl w:val="081C6F38"/>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3" w15:restartNumberingAfterBreak="0">
    <w:nsid w:val="73A262C7"/>
    <w:multiLevelType w:val="hybridMultilevel"/>
    <w:tmpl w:val="763A16B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7A2F34D5"/>
    <w:multiLevelType w:val="hybridMultilevel"/>
    <w:tmpl w:val="2B8CED56"/>
    <w:lvl w:ilvl="0" w:tplc="3BA2FFCE">
      <w:numFmt w:val="bullet"/>
      <w:lvlText w:val="•"/>
      <w:lvlJc w:val="left"/>
      <w:pPr>
        <w:ind w:left="1070" w:hanging="710"/>
      </w:pPr>
      <w:rPr>
        <w:rFonts w:ascii="Nunito" w:eastAsia="Calibri" w:hAnsi="Nunito"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7BC034FC"/>
    <w:multiLevelType w:val="hybridMultilevel"/>
    <w:tmpl w:val="EBD028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7F1C1EED"/>
    <w:multiLevelType w:val="hybridMultilevel"/>
    <w:tmpl w:val="539C07B8"/>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643"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05395502">
    <w:abstractNumId w:val="27"/>
  </w:num>
  <w:num w:numId="2" w16cid:durableId="358429970">
    <w:abstractNumId w:val="9"/>
  </w:num>
  <w:num w:numId="3" w16cid:durableId="1013530886">
    <w:abstractNumId w:val="4"/>
  </w:num>
  <w:num w:numId="4" w16cid:durableId="1225681149">
    <w:abstractNumId w:val="24"/>
  </w:num>
  <w:num w:numId="5" w16cid:durableId="741024196">
    <w:abstractNumId w:val="33"/>
  </w:num>
  <w:num w:numId="6" w16cid:durableId="725569644">
    <w:abstractNumId w:val="29"/>
  </w:num>
  <w:num w:numId="7" w16cid:durableId="961695364">
    <w:abstractNumId w:val="37"/>
  </w:num>
  <w:num w:numId="8" w16cid:durableId="1979451641">
    <w:abstractNumId w:val="34"/>
  </w:num>
  <w:num w:numId="9" w16cid:durableId="386614685">
    <w:abstractNumId w:val="22"/>
  </w:num>
  <w:num w:numId="10" w16cid:durableId="1615477302">
    <w:abstractNumId w:val="15"/>
  </w:num>
  <w:num w:numId="11" w16cid:durableId="283657821">
    <w:abstractNumId w:val="14"/>
  </w:num>
  <w:num w:numId="12" w16cid:durableId="779490344">
    <w:abstractNumId w:val="7"/>
  </w:num>
  <w:num w:numId="13" w16cid:durableId="1320309010">
    <w:abstractNumId w:val="23"/>
  </w:num>
  <w:num w:numId="14" w16cid:durableId="2133476631">
    <w:abstractNumId w:val="18"/>
  </w:num>
  <w:num w:numId="15" w16cid:durableId="257565040">
    <w:abstractNumId w:val="41"/>
  </w:num>
  <w:num w:numId="16" w16cid:durableId="795414731">
    <w:abstractNumId w:val="26"/>
  </w:num>
  <w:num w:numId="17" w16cid:durableId="668101913">
    <w:abstractNumId w:val="12"/>
  </w:num>
  <w:num w:numId="18" w16cid:durableId="1991908852">
    <w:abstractNumId w:val="13"/>
  </w:num>
  <w:num w:numId="19" w16cid:durableId="633293876">
    <w:abstractNumId w:val="21"/>
  </w:num>
  <w:num w:numId="20" w16cid:durableId="768356384">
    <w:abstractNumId w:val="5"/>
  </w:num>
  <w:num w:numId="21" w16cid:durableId="1937401648">
    <w:abstractNumId w:val="45"/>
  </w:num>
  <w:num w:numId="22" w16cid:durableId="1171215259">
    <w:abstractNumId w:val="3"/>
  </w:num>
  <w:num w:numId="23" w16cid:durableId="1337348328">
    <w:abstractNumId w:val="30"/>
  </w:num>
  <w:num w:numId="24" w16cid:durableId="1353843166">
    <w:abstractNumId w:val="10"/>
  </w:num>
  <w:num w:numId="25" w16cid:durableId="531000618">
    <w:abstractNumId w:val="32"/>
  </w:num>
  <w:num w:numId="26" w16cid:durableId="1771849838">
    <w:abstractNumId w:val="44"/>
  </w:num>
  <w:num w:numId="27" w16cid:durableId="1031491433">
    <w:abstractNumId w:val="8"/>
  </w:num>
  <w:num w:numId="28" w16cid:durableId="1431243256">
    <w:abstractNumId w:val="20"/>
  </w:num>
  <w:num w:numId="29" w16cid:durableId="1286542055">
    <w:abstractNumId w:val="17"/>
  </w:num>
  <w:num w:numId="30" w16cid:durableId="206645846">
    <w:abstractNumId w:val="31"/>
  </w:num>
  <w:num w:numId="31" w16cid:durableId="1280987787">
    <w:abstractNumId w:val="40"/>
  </w:num>
  <w:num w:numId="32" w16cid:durableId="666202867">
    <w:abstractNumId w:val="6"/>
  </w:num>
  <w:num w:numId="33" w16cid:durableId="1426489255">
    <w:abstractNumId w:val="1"/>
  </w:num>
  <w:num w:numId="34" w16cid:durableId="879709344">
    <w:abstractNumId w:val="19"/>
  </w:num>
  <w:num w:numId="35" w16cid:durableId="485249346">
    <w:abstractNumId w:val="42"/>
  </w:num>
  <w:num w:numId="36" w16cid:durableId="1172718368">
    <w:abstractNumId w:val="2"/>
  </w:num>
  <w:num w:numId="37" w16cid:durableId="230121153">
    <w:abstractNumId w:val="16"/>
  </w:num>
  <w:num w:numId="38" w16cid:durableId="1524710001">
    <w:abstractNumId w:val="25"/>
  </w:num>
  <w:num w:numId="39" w16cid:durableId="744183870">
    <w:abstractNumId w:val="43"/>
  </w:num>
  <w:num w:numId="40" w16cid:durableId="274605074">
    <w:abstractNumId w:val="28"/>
  </w:num>
  <w:num w:numId="41" w16cid:durableId="825589188">
    <w:abstractNumId w:val="39"/>
  </w:num>
  <w:num w:numId="42" w16cid:durableId="627467815">
    <w:abstractNumId w:val="11"/>
  </w:num>
  <w:num w:numId="43" w16cid:durableId="556017135">
    <w:abstractNumId w:val="46"/>
  </w:num>
  <w:num w:numId="44" w16cid:durableId="1192955325">
    <w:abstractNumId w:val="0"/>
  </w:num>
  <w:num w:numId="45" w16cid:durableId="521436894">
    <w:abstractNumId w:val="36"/>
  </w:num>
  <w:num w:numId="46" w16cid:durableId="648091287">
    <w:abstractNumId w:val="35"/>
  </w:num>
  <w:num w:numId="47" w16cid:durableId="1481725479">
    <w:abstractNumId w:val="3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D6F"/>
    <w:rsid w:val="00013A4B"/>
    <w:rsid w:val="00014ECA"/>
    <w:rsid w:val="00015A4E"/>
    <w:rsid w:val="000454FE"/>
    <w:rsid w:val="0005090D"/>
    <w:rsid w:val="00055C75"/>
    <w:rsid w:val="000766CA"/>
    <w:rsid w:val="000843C9"/>
    <w:rsid w:val="00095702"/>
    <w:rsid w:val="00096B3F"/>
    <w:rsid w:val="000E3478"/>
    <w:rsid w:val="000E7961"/>
    <w:rsid w:val="00100451"/>
    <w:rsid w:val="00116A35"/>
    <w:rsid w:val="001443D4"/>
    <w:rsid w:val="00146BA2"/>
    <w:rsid w:val="00151823"/>
    <w:rsid w:val="00184BC3"/>
    <w:rsid w:val="001871B2"/>
    <w:rsid w:val="001903AC"/>
    <w:rsid w:val="0019792F"/>
    <w:rsid w:val="00197D21"/>
    <w:rsid w:val="001E011F"/>
    <w:rsid w:val="0021100E"/>
    <w:rsid w:val="00214AF8"/>
    <w:rsid w:val="00252AD6"/>
    <w:rsid w:val="002601CC"/>
    <w:rsid w:val="00271674"/>
    <w:rsid w:val="002747D0"/>
    <w:rsid w:val="00285E4A"/>
    <w:rsid w:val="00291F2C"/>
    <w:rsid w:val="002A02F5"/>
    <w:rsid w:val="002A11E8"/>
    <w:rsid w:val="002B6490"/>
    <w:rsid w:val="002C02AB"/>
    <w:rsid w:val="002C7941"/>
    <w:rsid w:val="002D13B7"/>
    <w:rsid w:val="002D6186"/>
    <w:rsid w:val="002E3D6F"/>
    <w:rsid w:val="002E47E4"/>
    <w:rsid w:val="002F609E"/>
    <w:rsid w:val="002F7FA5"/>
    <w:rsid w:val="00316FA2"/>
    <w:rsid w:val="003326E5"/>
    <w:rsid w:val="003403A3"/>
    <w:rsid w:val="0034247F"/>
    <w:rsid w:val="00376BA5"/>
    <w:rsid w:val="00376CD6"/>
    <w:rsid w:val="003D22C5"/>
    <w:rsid w:val="003E2965"/>
    <w:rsid w:val="003E4832"/>
    <w:rsid w:val="003F66B8"/>
    <w:rsid w:val="00406982"/>
    <w:rsid w:val="00433949"/>
    <w:rsid w:val="00444F24"/>
    <w:rsid w:val="00447245"/>
    <w:rsid w:val="0044798C"/>
    <w:rsid w:val="00453FE0"/>
    <w:rsid w:val="00464C17"/>
    <w:rsid w:val="004760BF"/>
    <w:rsid w:val="00486638"/>
    <w:rsid w:val="004B1337"/>
    <w:rsid w:val="004B2CD5"/>
    <w:rsid w:val="00500D8C"/>
    <w:rsid w:val="005177BE"/>
    <w:rsid w:val="0052311B"/>
    <w:rsid w:val="00552091"/>
    <w:rsid w:val="00553AE7"/>
    <w:rsid w:val="00591117"/>
    <w:rsid w:val="005937DD"/>
    <w:rsid w:val="005A0C06"/>
    <w:rsid w:val="005B62DD"/>
    <w:rsid w:val="005C24C3"/>
    <w:rsid w:val="005D452A"/>
    <w:rsid w:val="00611015"/>
    <w:rsid w:val="00613A8A"/>
    <w:rsid w:val="00661C97"/>
    <w:rsid w:val="0066378A"/>
    <w:rsid w:val="006C48DF"/>
    <w:rsid w:val="006D5E7F"/>
    <w:rsid w:val="007232A2"/>
    <w:rsid w:val="007722D6"/>
    <w:rsid w:val="00780690"/>
    <w:rsid w:val="00786425"/>
    <w:rsid w:val="007A073B"/>
    <w:rsid w:val="007C288B"/>
    <w:rsid w:val="007E0AD3"/>
    <w:rsid w:val="007F1D81"/>
    <w:rsid w:val="00803233"/>
    <w:rsid w:val="00805A70"/>
    <w:rsid w:val="00811183"/>
    <w:rsid w:val="00835312"/>
    <w:rsid w:val="00894D09"/>
    <w:rsid w:val="008A6675"/>
    <w:rsid w:val="008D64FB"/>
    <w:rsid w:val="008D6553"/>
    <w:rsid w:val="0094449D"/>
    <w:rsid w:val="0094674A"/>
    <w:rsid w:val="00963537"/>
    <w:rsid w:val="009660AA"/>
    <w:rsid w:val="00981035"/>
    <w:rsid w:val="009A1B9F"/>
    <w:rsid w:val="009C78B6"/>
    <w:rsid w:val="009D35D3"/>
    <w:rsid w:val="009E516F"/>
    <w:rsid w:val="009F468F"/>
    <w:rsid w:val="00A1554A"/>
    <w:rsid w:val="00A305E3"/>
    <w:rsid w:val="00A365C2"/>
    <w:rsid w:val="00A4648B"/>
    <w:rsid w:val="00A61BD3"/>
    <w:rsid w:val="00A75223"/>
    <w:rsid w:val="00AB116A"/>
    <w:rsid w:val="00AB61DC"/>
    <w:rsid w:val="00AB74F2"/>
    <w:rsid w:val="00AC3270"/>
    <w:rsid w:val="00AD65FA"/>
    <w:rsid w:val="00AE192C"/>
    <w:rsid w:val="00AE357F"/>
    <w:rsid w:val="00AE792A"/>
    <w:rsid w:val="00AF2049"/>
    <w:rsid w:val="00AF3A4D"/>
    <w:rsid w:val="00B03C4F"/>
    <w:rsid w:val="00B235F8"/>
    <w:rsid w:val="00B26B8B"/>
    <w:rsid w:val="00B26E25"/>
    <w:rsid w:val="00B462F0"/>
    <w:rsid w:val="00B527D4"/>
    <w:rsid w:val="00B67786"/>
    <w:rsid w:val="00B73618"/>
    <w:rsid w:val="00B85019"/>
    <w:rsid w:val="00BA15E3"/>
    <w:rsid w:val="00BB43F5"/>
    <w:rsid w:val="00BE2B0C"/>
    <w:rsid w:val="00C157AB"/>
    <w:rsid w:val="00C27F59"/>
    <w:rsid w:val="00C32637"/>
    <w:rsid w:val="00C41FFF"/>
    <w:rsid w:val="00C43CE3"/>
    <w:rsid w:val="00C515DF"/>
    <w:rsid w:val="00C92BE9"/>
    <w:rsid w:val="00CC10FC"/>
    <w:rsid w:val="00CC1C32"/>
    <w:rsid w:val="00CE2806"/>
    <w:rsid w:val="00CE3EF2"/>
    <w:rsid w:val="00D16792"/>
    <w:rsid w:val="00DA3748"/>
    <w:rsid w:val="00DA566A"/>
    <w:rsid w:val="00DB2A77"/>
    <w:rsid w:val="00DB2FE0"/>
    <w:rsid w:val="00DD463E"/>
    <w:rsid w:val="00DE56B7"/>
    <w:rsid w:val="00E13FBA"/>
    <w:rsid w:val="00E45BC0"/>
    <w:rsid w:val="00E66FE0"/>
    <w:rsid w:val="00E770C0"/>
    <w:rsid w:val="00E81365"/>
    <w:rsid w:val="00E85F9E"/>
    <w:rsid w:val="00EC3AD4"/>
    <w:rsid w:val="00EE6CE3"/>
    <w:rsid w:val="00F3268F"/>
    <w:rsid w:val="00F41652"/>
    <w:rsid w:val="00F541A0"/>
    <w:rsid w:val="00F60B69"/>
    <w:rsid w:val="00F67F4E"/>
    <w:rsid w:val="00F87648"/>
    <w:rsid w:val="00FA2DD3"/>
    <w:rsid w:val="00FB0034"/>
    <w:rsid w:val="00FC36E0"/>
    <w:rsid w:val="00FC443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3C0DC"/>
  <w15:docId w15:val="{1B80600F-830B-4CEC-A6EA-E4135ACC2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674"/>
    <w:pPr>
      <w:spacing w:after="200" w:line="276" w:lineRule="auto"/>
    </w:pPr>
    <w:rPr>
      <w:rFonts w:ascii="Nunito" w:hAnsi="Nunito"/>
      <w:sz w:val="22"/>
      <w:szCs w:val="22"/>
      <w:lang w:eastAsia="en-US"/>
    </w:rPr>
  </w:style>
  <w:style w:type="paragraph" w:styleId="Titre1">
    <w:name w:val="heading 1"/>
    <w:basedOn w:val="Normal"/>
    <w:next w:val="Normal"/>
    <w:link w:val="Titre1Car"/>
    <w:uiPriority w:val="9"/>
    <w:qFormat/>
    <w:rsid w:val="009444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444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1"/>
    <w:qFormat/>
    <w:rsid w:val="002747D0"/>
    <w:pPr>
      <w:spacing w:after="0" w:line="240" w:lineRule="auto"/>
      <w:ind w:left="720"/>
    </w:pPr>
  </w:style>
  <w:style w:type="character" w:styleId="Lienhypertexte">
    <w:name w:val="Hyperlink"/>
    <w:unhideWhenUsed/>
    <w:rsid w:val="002747D0"/>
    <w:rPr>
      <w:color w:val="0000FF"/>
      <w:u w:val="single"/>
    </w:rPr>
  </w:style>
  <w:style w:type="character" w:styleId="Marquedecommentaire">
    <w:name w:val="annotation reference"/>
    <w:uiPriority w:val="99"/>
    <w:semiHidden/>
    <w:unhideWhenUsed/>
    <w:rsid w:val="002747D0"/>
    <w:rPr>
      <w:sz w:val="16"/>
      <w:szCs w:val="16"/>
    </w:rPr>
  </w:style>
  <w:style w:type="paragraph" w:styleId="Commentaire">
    <w:name w:val="annotation text"/>
    <w:basedOn w:val="Normal"/>
    <w:link w:val="CommentaireCar"/>
    <w:uiPriority w:val="99"/>
    <w:unhideWhenUsed/>
    <w:rsid w:val="002747D0"/>
    <w:pPr>
      <w:spacing w:line="240" w:lineRule="auto"/>
    </w:pPr>
    <w:rPr>
      <w:sz w:val="20"/>
      <w:szCs w:val="20"/>
      <w:lang w:val="en-GB"/>
    </w:rPr>
  </w:style>
  <w:style w:type="character" w:customStyle="1" w:styleId="CommentaireCar">
    <w:name w:val="Commentaire Car"/>
    <w:basedOn w:val="Policepardfaut"/>
    <w:link w:val="Commentaire"/>
    <w:uiPriority w:val="99"/>
    <w:rsid w:val="002747D0"/>
    <w:rPr>
      <w:lang w:val="en-GB" w:eastAsia="en-US"/>
    </w:rPr>
  </w:style>
  <w:style w:type="paragraph" w:styleId="Textedebulles">
    <w:name w:val="Balloon Text"/>
    <w:basedOn w:val="Normal"/>
    <w:link w:val="TextedebullesCar"/>
    <w:uiPriority w:val="99"/>
    <w:semiHidden/>
    <w:unhideWhenUsed/>
    <w:rsid w:val="002747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47D0"/>
    <w:rPr>
      <w:rFonts w:ascii="Tahoma" w:hAnsi="Tahoma" w:cs="Tahoma"/>
      <w:sz w:val="16"/>
      <w:szCs w:val="16"/>
      <w:lang w:eastAsia="en-US"/>
    </w:rPr>
  </w:style>
  <w:style w:type="table" w:styleId="Grilledutableau">
    <w:name w:val="Table Grid"/>
    <w:basedOn w:val="TableauNormal"/>
    <w:uiPriority w:val="59"/>
    <w:rsid w:val="00B26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47245"/>
    <w:pPr>
      <w:tabs>
        <w:tab w:val="center" w:pos="4536"/>
        <w:tab w:val="right" w:pos="9072"/>
      </w:tabs>
    </w:pPr>
  </w:style>
  <w:style w:type="character" w:customStyle="1" w:styleId="En-tteCar">
    <w:name w:val="En-tête Car"/>
    <w:basedOn w:val="Policepardfaut"/>
    <w:link w:val="En-tte"/>
    <w:uiPriority w:val="99"/>
    <w:rsid w:val="00447245"/>
    <w:rPr>
      <w:sz w:val="22"/>
      <w:szCs w:val="22"/>
      <w:lang w:eastAsia="en-US"/>
    </w:rPr>
  </w:style>
  <w:style w:type="paragraph" w:styleId="Pieddepage">
    <w:name w:val="footer"/>
    <w:basedOn w:val="Normal"/>
    <w:link w:val="PieddepageCar"/>
    <w:uiPriority w:val="99"/>
    <w:unhideWhenUsed/>
    <w:rsid w:val="00447245"/>
    <w:pPr>
      <w:tabs>
        <w:tab w:val="center" w:pos="4536"/>
        <w:tab w:val="right" w:pos="9072"/>
      </w:tabs>
    </w:pPr>
  </w:style>
  <w:style w:type="character" w:customStyle="1" w:styleId="PieddepageCar">
    <w:name w:val="Pied de page Car"/>
    <w:basedOn w:val="Policepardfaut"/>
    <w:link w:val="Pieddepage"/>
    <w:uiPriority w:val="99"/>
    <w:rsid w:val="00447245"/>
    <w:rPr>
      <w:sz w:val="22"/>
      <w:szCs w:val="22"/>
      <w:lang w:eastAsia="en-US"/>
    </w:rPr>
  </w:style>
  <w:style w:type="paragraph" w:styleId="Objetducommentaire">
    <w:name w:val="annotation subject"/>
    <w:basedOn w:val="Commentaire"/>
    <w:next w:val="Commentaire"/>
    <w:link w:val="ObjetducommentaireCar"/>
    <w:uiPriority w:val="99"/>
    <w:semiHidden/>
    <w:unhideWhenUsed/>
    <w:rsid w:val="00B85019"/>
    <w:rPr>
      <w:b/>
      <w:bCs/>
      <w:lang w:val="fr-BE"/>
    </w:rPr>
  </w:style>
  <w:style w:type="character" w:customStyle="1" w:styleId="ObjetducommentaireCar">
    <w:name w:val="Objet du commentaire Car"/>
    <w:basedOn w:val="CommentaireCar"/>
    <w:link w:val="Objetducommentaire"/>
    <w:uiPriority w:val="99"/>
    <w:semiHidden/>
    <w:rsid w:val="00B85019"/>
    <w:rPr>
      <w:b/>
      <w:bCs/>
      <w:lang w:val="en-GB" w:eastAsia="en-US"/>
    </w:rPr>
  </w:style>
  <w:style w:type="paragraph" w:styleId="Titre">
    <w:name w:val="Title"/>
    <w:basedOn w:val="Normal"/>
    <w:next w:val="Normal"/>
    <w:link w:val="TitreCar"/>
    <w:uiPriority w:val="10"/>
    <w:qFormat/>
    <w:rsid w:val="00553AE7"/>
    <w:pPr>
      <w:pBdr>
        <w:bottom w:val="single" w:sz="8" w:space="4" w:color="4F81BD" w:themeColor="accent1"/>
      </w:pBdr>
      <w:spacing w:after="300" w:line="240" w:lineRule="auto"/>
      <w:contextualSpacing/>
    </w:pPr>
    <w:rPr>
      <w:rFonts w:asciiTheme="majorHAnsi" w:eastAsiaTheme="majorEastAsia" w:hAnsiTheme="majorHAnsi" w:cstheme="majorBidi"/>
      <w:color w:val="0070C0"/>
      <w:spacing w:val="5"/>
      <w:kern w:val="28"/>
      <w:sz w:val="52"/>
      <w:szCs w:val="52"/>
    </w:rPr>
  </w:style>
  <w:style w:type="character" w:customStyle="1" w:styleId="TitreCar">
    <w:name w:val="Titre Car"/>
    <w:basedOn w:val="Policepardfaut"/>
    <w:link w:val="Titre"/>
    <w:uiPriority w:val="10"/>
    <w:rsid w:val="00553AE7"/>
    <w:rPr>
      <w:rFonts w:asciiTheme="majorHAnsi" w:eastAsiaTheme="majorEastAsia" w:hAnsiTheme="majorHAnsi" w:cstheme="majorBidi"/>
      <w:color w:val="0070C0"/>
      <w:spacing w:val="5"/>
      <w:kern w:val="28"/>
      <w:sz w:val="52"/>
      <w:szCs w:val="52"/>
      <w:lang w:eastAsia="en-US"/>
    </w:rPr>
  </w:style>
  <w:style w:type="character" w:customStyle="1" w:styleId="Titre1Car">
    <w:name w:val="Titre 1 Car"/>
    <w:basedOn w:val="Policepardfaut"/>
    <w:link w:val="Titre1"/>
    <w:uiPriority w:val="9"/>
    <w:rsid w:val="0094449D"/>
    <w:rPr>
      <w:rFonts w:asciiTheme="majorHAnsi" w:eastAsiaTheme="majorEastAsia" w:hAnsiTheme="majorHAnsi" w:cstheme="majorBidi"/>
      <w:b/>
      <w:bCs/>
      <w:color w:val="365F91" w:themeColor="accent1" w:themeShade="BF"/>
      <w:sz w:val="28"/>
      <w:szCs w:val="28"/>
      <w:lang w:eastAsia="en-US"/>
    </w:rPr>
  </w:style>
  <w:style w:type="character" w:customStyle="1" w:styleId="Titre2Car">
    <w:name w:val="Titre 2 Car"/>
    <w:basedOn w:val="Policepardfaut"/>
    <w:link w:val="Titre2"/>
    <w:uiPriority w:val="9"/>
    <w:rsid w:val="0094449D"/>
    <w:rPr>
      <w:rFonts w:asciiTheme="majorHAnsi" w:eastAsiaTheme="majorEastAsia" w:hAnsiTheme="majorHAnsi" w:cstheme="majorBidi"/>
      <w:b/>
      <w:bCs/>
      <w:color w:val="4F81BD" w:themeColor="accent1"/>
      <w:sz w:val="26"/>
      <w:szCs w:val="26"/>
      <w:lang w:eastAsia="en-US"/>
    </w:rPr>
  </w:style>
  <w:style w:type="table" w:styleId="Trameclaire-Accent1">
    <w:name w:val="Light Shading Accent 1"/>
    <w:basedOn w:val="TableauNormal"/>
    <w:uiPriority w:val="60"/>
    <w:rsid w:val="00BB43F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eclaire-Accent5">
    <w:name w:val="Light List Accent 5"/>
    <w:basedOn w:val="TableauNormal"/>
    <w:uiPriority w:val="61"/>
    <w:rsid w:val="00BB43F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ParagraphedelisteCar">
    <w:name w:val="Paragraphe de liste Car"/>
    <w:link w:val="Paragraphedeliste"/>
    <w:uiPriority w:val="1"/>
    <w:locked/>
    <w:rsid w:val="00500D8C"/>
    <w:rPr>
      <w:rFonts w:ascii="Nunito" w:hAnsi="Nunito"/>
      <w:sz w:val="22"/>
      <w:szCs w:val="22"/>
      <w:lang w:eastAsia="en-US"/>
    </w:rPr>
  </w:style>
  <w:style w:type="character" w:styleId="Accentuationintense">
    <w:name w:val="Intense Emphasis"/>
    <w:uiPriority w:val="21"/>
    <w:qFormat/>
    <w:rsid w:val="00015A4E"/>
    <w:rPr>
      <w:b/>
      <w:bCs/>
      <w:i/>
      <w:iCs/>
      <w:color w:val="4F81BD"/>
    </w:rPr>
  </w:style>
  <w:style w:type="character" w:styleId="lev">
    <w:name w:val="Strong"/>
    <w:basedOn w:val="Policepardfaut"/>
    <w:uiPriority w:val="22"/>
    <w:qFormat/>
    <w:rsid w:val="00CC1C32"/>
    <w:rPr>
      <w:b/>
      <w:bCs/>
    </w:rPr>
  </w:style>
  <w:style w:type="paragraph" w:styleId="En-ttedetabledesmatires">
    <w:name w:val="TOC Heading"/>
    <w:basedOn w:val="Titre1"/>
    <w:next w:val="Normal"/>
    <w:uiPriority w:val="39"/>
    <w:unhideWhenUsed/>
    <w:qFormat/>
    <w:rsid w:val="00CC1C32"/>
    <w:pPr>
      <w:outlineLvl w:val="9"/>
    </w:pPr>
    <w:rPr>
      <w:lang w:val="en-US" w:eastAsia="ja-JP"/>
    </w:rPr>
  </w:style>
  <w:style w:type="paragraph" w:styleId="TM1">
    <w:name w:val="toc 1"/>
    <w:basedOn w:val="Normal"/>
    <w:next w:val="Normal"/>
    <w:autoRedefine/>
    <w:uiPriority w:val="39"/>
    <w:unhideWhenUsed/>
    <w:rsid w:val="00CC1C32"/>
    <w:pPr>
      <w:spacing w:after="100"/>
    </w:pPr>
  </w:style>
  <w:style w:type="paragraph" w:customStyle="1" w:styleId="TableParagraph">
    <w:name w:val="Table Paragraph"/>
    <w:basedOn w:val="Normal"/>
    <w:uiPriority w:val="1"/>
    <w:qFormat/>
    <w:rsid w:val="0034247F"/>
    <w:pPr>
      <w:widowControl w:val="0"/>
      <w:autoSpaceDE w:val="0"/>
      <w:autoSpaceDN w:val="0"/>
      <w:spacing w:after="0" w:line="282" w:lineRule="exact"/>
      <w:ind w:left="107"/>
    </w:pPr>
    <w:rPr>
      <w:rFonts w:eastAsia="Nunito" w:cs="Nunito"/>
      <w:lang w:val="en-US"/>
    </w:rPr>
  </w:style>
  <w:style w:type="paragraph" w:styleId="Corpsdetexte">
    <w:name w:val="Body Text"/>
    <w:basedOn w:val="Normal"/>
    <w:link w:val="CorpsdetexteCar"/>
    <w:uiPriority w:val="1"/>
    <w:qFormat/>
    <w:rsid w:val="0034247F"/>
    <w:pPr>
      <w:widowControl w:val="0"/>
      <w:autoSpaceDE w:val="0"/>
      <w:autoSpaceDN w:val="0"/>
      <w:spacing w:after="0" w:line="240" w:lineRule="auto"/>
    </w:pPr>
    <w:rPr>
      <w:rFonts w:eastAsia="Nunito" w:cs="Nunito"/>
      <w:lang w:val="en-US"/>
    </w:rPr>
  </w:style>
  <w:style w:type="character" w:customStyle="1" w:styleId="CorpsdetexteCar">
    <w:name w:val="Corps de texte Car"/>
    <w:basedOn w:val="Policepardfaut"/>
    <w:link w:val="Corpsdetexte"/>
    <w:uiPriority w:val="1"/>
    <w:rsid w:val="0034247F"/>
    <w:rPr>
      <w:rFonts w:ascii="Nunito" w:eastAsia="Nunito" w:hAnsi="Nunito" w:cs="Nunito"/>
      <w:sz w:val="22"/>
      <w:szCs w:val="22"/>
      <w:lang w:val="en-US" w:eastAsia="en-US"/>
    </w:rPr>
  </w:style>
  <w:style w:type="table" w:styleId="TableauGrille4-Accentuation4">
    <w:name w:val="Grid Table 4 Accent 4"/>
    <w:basedOn w:val="TableauNormal"/>
    <w:uiPriority w:val="49"/>
    <w:rsid w:val="00AE792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Rvision">
    <w:name w:val="Revision"/>
    <w:hidden/>
    <w:uiPriority w:val="99"/>
    <w:semiHidden/>
    <w:rsid w:val="00661C97"/>
    <w:rPr>
      <w:rFonts w:ascii="Nunito" w:hAnsi="Nuni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7675">
      <w:bodyDiv w:val="1"/>
      <w:marLeft w:val="0"/>
      <w:marRight w:val="0"/>
      <w:marTop w:val="0"/>
      <w:marBottom w:val="0"/>
      <w:divBdr>
        <w:top w:val="none" w:sz="0" w:space="0" w:color="auto"/>
        <w:left w:val="none" w:sz="0" w:space="0" w:color="auto"/>
        <w:bottom w:val="none" w:sz="0" w:space="0" w:color="auto"/>
        <w:right w:val="none" w:sz="0" w:space="0" w:color="auto"/>
      </w:divBdr>
    </w:div>
    <w:div w:id="296878541">
      <w:bodyDiv w:val="1"/>
      <w:marLeft w:val="0"/>
      <w:marRight w:val="0"/>
      <w:marTop w:val="0"/>
      <w:marBottom w:val="0"/>
      <w:divBdr>
        <w:top w:val="none" w:sz="0" w:space="0" w:color="auto"/>
        <w:left w:val="none" w:sz="0" w:space="0" w:color="auto"/>
        <w:bottom w:val="none" w:sz="0" w:space="0" w:color="auto"/>
        <w:right w:val="none" w:sz="0" w:space="0" w:color="auto"/>
      </w:divBdr>
    </w:div>
    <w:div w:id="729423980">
      <w:bodyDiv w:val="1"/>
      <w:marLeft w:val="0"/>
      <w:marRight w:val="0"/>
      <w:marTop w:val="0"/>
      <w:marBottom w:val="0"/>
      <w:divBdr>
        <w:top w:val="none" w:sz="0" w:space="0" w:color="auto"/>
        <w:left w:val="none" w:sz="0" w:space="0" w:color="auto"/>
        <w:bottom w:val="none" w:sz="0" w:space="0" w:color="auto"/>
        <w:right w:val="none" w:sz="0" w:space="0" w:color="auto"/>
      </w:divBdr>
    </w:div>
    <w:div w:id="738751690">
      <w:bodyDiv w:val="1"/>
      <w:marLeft w:val="0"/>
      <w:marRight w:val="0"/>
      <w:marTop w:val="0"/>
      <w:marBottom w:val="0"/>
      <w:divBdr>
        <w:top w:val="none" w:sz="0" w:space="0" w:color="auto"/>
        <w:left w:val="none" w:sz="0" w:space="0" w:color="auto"/>
        <w:bottom w:val="none" w:sz="0" w:space="0" w:color="auto"/>
        <w:right w:val="none" w:sz="0" w:space="0" w:color="auto"/>
      </w:divBdr>
      <w:divsChild>
        <w:div w:id="1262683691">
          <w:marLeft w:val="547"/>
          <w:marRight w:val="0"/>
          <w:marTop w:val="154"/>
          <w:marBottom w:val="0"/>
          <w:divBdr>
            <w:top w:val="none" w:sz="0" w:space="0" w:color="auto"/>
            <w:left w:val="none" w:sz="0" w:space="0" w:color="auto"/>
            <w:bottom w:val="none" w:sz="0" w:space="0" w:color="auto"/>
            <w:right w:val="none" w:sz="0" w:space="0" w:color="auto"/>
          </w:divBdr>
        </w:div>
        <w:div w:id="1126705859">
          <w:marLeft w:val="547"/>
          <w:marRight w:val="0"/>
          <w:marTop w:val="154"/>
          <w:marBottom w:val="0"/>
          <w:divBdr>
            <w:top w:val="none" w:sz="0" w:space="0" w:color="auto"/>
            <w:left w:val="none" w:sz="0" w:space="0" w:color="auto"/>
            <w:bottom w:val="none" w:sz="0" w:space="0" w:color="auto"/>
            <w:right w:val="none" w:sz="0" w:space="0" w:color="auto"/>
          </w:divBdr>
        </w:div>
        <w:div w:id="1685129482">
          <w:marLeft w:val="547"/>
          <w:marRight w:val="0"/>
          <w:marTop w:val="154"/>
          <w:marBottom w:val="0"/>
          <w:divBdr>
            <w:top w:val="none" w:sz="0" w:space="0" w:color="auto"/>
            <w:left w:val="none" w:sz="0" w:space="0" w:color="auto"/>
            <w:bottom w:val="none" w:sz="0" w:space="0" w:color="auto"/>
            <w:right w:val="none" w:sz="0" w:space="0" w:color="auto"/>
          </w:divBdr>
        </w:div>
        <w:div w:id="1644505916">
          <w:marLeft w:val="547"/>
          <w:marRight w:val="0"/>
          <w:marTop w:val="154"/>
          <w:marBottom w:val="0"/>
          <w:divBdr>
            <w:top w:val="none" w:sz="0" w:space="0" w:color="auto"/>
            <w:left w:val="none" w:sz="0" w:space="0" w:color="auto"/>
            <w:bottom w:val="none" w:sz="0" w:space="0" w:color="auto"/>
            <w:right w:val="none" w:sz="0" w:space="0" w:color="auto"/>
          </w:divBdr>
        </w:div>
      </w:divsChild>
    </w:div>
    <w:div w:id="1053119828">
      <w:bodyDiv w:val="1"/>
      <w:marLeft w:val="0"/>
      <w:marRight w:val="0"/>
      <w:marTop w:val="0"/>
      <w:marBottom w:val="0"/>
      <w:divBdr>
        <w:top w:val="none" w:sz="0" w:space="0" w:color="auto"/>
        <w:left w:val="none" w:sz="0" w:space="0" w:color="auto"/>
        <w:bottom w:val="none" w:sz="0" w:space="0" w:color="auto"/>
        <w:right w:val="none" w:sz="0" w:space="0" w:color="auto"/>
      </w:divBdr>
    </w:div>
    <w:div w:id="1099569567">
      <w:bodyDiv w:val="1"/>
      <w:marLeft w:val="0"/>
      <w:marRight w:val="0"/>
      <w:marTop w:val="0"/>
      <w:marBottom w:val="0"/>
      <w:divBdr>
        <w:top w:val="none" w:sz="0" w:space="0" w:color="auto"/>
        <w:left w:val="none" w:sz="0" w:space="0" w:color="auto"/>
        <w:bottom w:val="none" w:sz="0" w:space="0" w:color="auto"/>
        <w:right w:val="none" w:sz="0" w:space="0" w:color="auto"/>
      </w:divBdr>
    </w:div>
    <w:div w:id="1500539806">
      <w:bodyDiv w:val="1"/>
      <w:marLeft w:val="0"/>
      <w:marRight w:val="0"/>
      <w:marTop w:val="0"/>
      <w:marBottom w:val="0"/>
      <w:divBdr>
        <w:top w:val="none" w:sz="0" w:space="0" w:color="auto"/>
        <w:left w:val="none" w:sz="0" w:space="0" w:color="auto"/>
        <w:bottom w:val="none" w:sz="0" w:space="0" w:color="auto"/>
        <w:right w:val="none" w:sz="0" w:space="0" w:color="auto"/>
      </w:divBdr>
    </w:div>
    <w:div w:id="1669862005">
      <w:bodyDiv w:val="1"/>
      <w:marLeft w:val="0"/>
      <w:marRight w:val="0"/>
      <w:marTop w:val="0"/>
      <w:marBottom w:val="0"/>
      <w:divBdr>
        <w:top w:val="none" w:sz="0" w:space="0" w:color="auto"/>
        <w:left w:val="none" w:sz="0" w:space="0" w:color="auto"/>
        <w:bottom w:val="none" w:sz="0" w:space="0" w:color="auto"/>
        <w:right w:val="none" w:sz="0" w:space="0" w:color="auto"/>
      </w:divBdr>
    </w:div>
    <w:div w:id="1815368279">
      <w:bodyDiv w:val="1"/>
      <w:marLeft w:val="0"/>
      <w:marRight w:val="0"/>
      <w:marTop w:val="0"/>
      <w:marBottom w:val="0"/>
      <w:divBdr>
        <w:top w:val="none" w:sz="0" w:space="0" w:color="auto"/>
        <w:left w:val="none" w:sz="0" w:space="0" w:color="auto"/>
        <w:bottom w:val="none" w:sz="0" w:space="0" w:color="auto"/>
        <w:right w:val="none" w:sz="0" w:space="0" w:color="auto"/>
      </w:divBdr>
    </w:div>
    <w:div w:id="181695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h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c165613-8423-4bef-9a3d-8053d6c07c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D6A559A0375314A998AD5F53E17E093" ma:contentTypeVersion="15" ma:contentTypeDescription="Crée un document." ma:contentTypeScope="" ma:versionID="4bcba034fd4cf942c4e61b0552b96a6d">
  <xsd:schema xmlns:xsd="http://www.w3.org/2001/XMLSchema" xmlns:xs="http://www.w3.org/2001/XMLSchema" xmlns:p="http://schemas.microsoft.com/office/2006/metadata/properties" xmlns:ns3="fc165613-8423-4bef-9a3d-8053d6c07c1f" xmlns:ns4="e4bbdbf6-92ca-40b4-ad96-ce43d1fdbf6b" targetNamespace="http://schemas.microsoft.com/office/2006/metadata/properties" ma:root="true" ma:fieldsID="b88ff6eb9e6088454a6e2705f0d8b596" ns3:_="" ns4:_="">
    <xsd:import namespace="fc165613-8423-4bef-9a3d-8053d6c07c1f"/>
    <xsd:import namespace="e4bbdbf6-92ca-40b4-ad96-ce43d1fdbf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65613-8423-4bef-9a3d-8053d6c07c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bbdbf6-92ca-40b4-ad96-ce43d1fdbf6b"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6858A1-3A79-438A-9313-A0CC2A3CC170}">
  <ds:schemaRefs>
    <ds:schemaRef ds:uri="http://schemas.microsoft.com/office/2006/metadata/properties"/>
    <ds:schemaRef ds:uri="http://schemas.microsoft.com/office/infopath/2007/PartnerControls"/>
    <ds:schemaRef ds:uri="fc165613-8423-4bef-9a3d-8053d6c07c1f"/>
  </ds:schemaRefs>
</ds:datastoreItem>
</file>

<file path=customXml/itemProps2.xml><?xml version="1.0" encoding="utf-8"?>
<ds:datastoreItem xmlns:ds="http://schemas.openxmlformats.org/officeDocument/2006/customXml" ds:itemID="{C1C6E586-FCD5-4991-BDFA-F8B4175C333C}">
  <ds:schemaRefs>
    <ds:schemaRef ds:uri="http://schemas.microsoft.com/sharepoint/v3/contenttype/forms"/>
  </ds:schemaRefs>
</ds:datastoreItem>
</file>

<file path=customXml/itemProps3.xml><?xml version="1.0" encoding="utf-8"?>
<ds:datastoreItem xmlns:ds="http://schemas.openxmlformats.org/officeDocument/2006/customXml" ds:itemID="{D1E9E1A4-3C3C-4CB0-A60F-8DDA8B809706}">
  <ds:schemaRefs>
    <ds:schemaRef ds:uri="http://schemas.openxmlformats.org/officeDocument/2006/bibliography"/>
  </ds:schemaRefs>
</ds:datastoreItem>
</file>

<file path=customXml/itemProps4.xml><?xml version="1.0" encoding="utf-8"?>
<ds:datastoreItem xmlns:ds="http://schemas.openxmlformats.org/officeDocument/2006/customXml" ds:itemID="{4E2F3D2C-25E9-4975-AA42-73101E1B1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65613-8423-4bef-9a3d-8053d6c07c1f"/>
    <ds:schemaRef ds:uri="e4bbdbf6-92ca-40b4-ad96-ce43d1fdb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2705</Words>
  <Characters>14879</Characters>
  <Application>Microsoft Office Word</Application>
  <DocSecurity>0</DocSecurity>
  <Lines>123</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Aurélie BEAUJOLAIS</dc:creator>
  <cp:lastModifiedBy>Beatrice PEREZ</cp:lastModifiedBy>
  <cp:revision>2</cp:revision>
  <dcterms:created xsi:type="dcterms:W3CDTF">2023-05-16T14:31:00Z</dcterms:created>
  <dcterms:modified xsi:type="dcterms:W3CDTF">2023-05-16T14:31:00Z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0x0101008D6A559A0375314A998AD5F53E17E093</vt:lpwstr>
  </property>
</Properties>
</file>