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8881C" w14:textId="77777777" w:rsidR="00A42C1D" w:rsidRDefault="00A42C1D" w:rsidP="005F53A9">
      <w:pPr>
        <w:spacing w:after="0" w:line="240" w:lineRule="auto"/>
        <w:ind w:left="-567" w:right="-1039"/>
        <w:contextualSpacing/>
        <w:jc w:val="left"/>
        <w:rPr>
          <w:rFonts w:ascii="Arial" w:hAnsi="Arial" w:cs="Arial"/>
          <w:lang w:val="en-GB"/>
        </w:rPr>
      </w:pPr>
    </w:p>
    <w:p w14:paraId="40FCED6D" w14:textId="2A8D603A" w:rsidR="005F53A9" w:rsidRDefault="005F53A9" w:rsidP="005F53A9">
      <w:pPr>
        <w:spacing w:after="0" w:line="240" w:lineRule="auto"/>
        <w:ind w:left="-567" w:right="-1039"/>
        <w:contextualSpacing/>
        <w:jc w:val="left"/>
        <w:rPr>
          <w:rFonts w:ascii="Arial" w:eastAsiaTheme="majorEastAsia" w:hAnsi="Arial" w:cstheme="majorBidi"/>
          <w:b/>
          <w:bCs/>
          <w:caps/>
          <w:color w:val="C00000"/>
          <w:spacing w:val="5"/>
          <w:sz w:val="32"/>
          <w:szCs w:val="26"/>
          <w:lang w:val="en-GB" w:bidi="fr-FR"/>
        </w:rPr>
      </w:pPr>
      <w:r w:rsidRPr="005F53A9">
        <w:rPr>
          <w:rFonts w:ascii="Arial" w:eastAsiaTheme="majorEastAsia" w:hAnsi="Arial" w:cstheme="majorBidi"/>
          <w:b/>
          <w:bCs/>
          <w:caps/>
          <w:color w:val="C00000"/>
          <w:spacing w:val="5"/>
          <w:sz w:val="32"/>
          <w:szCs w:val="26"/>
          <w:lang w:val="en-GB" w:bidi="fr-FR"/>
        </w:rPr>
        <w:t xml:space="preserve">L'accord de partenariat de Cotonou </w:t>
      </w:r>
    </w:p>
    <w:p w14:paraId="5BE51D84" w14:textId="72FC2724" w:rsidR="005F53A9" w:rsidRPr="005F53A9" w:rsidRDefault="005F53A9" w:rsidP="005F53A9">
      <w:pPr>
        <w:spacing w:after="0" w:line="240" w:lineRule="auto"/>
        <w:ind w:left="-567" w:right="-1039"/>
        <w:contextualSpacing/>
        <w:jc w:val="left"/>
        <w:rPr>
          <w:rFonts w:ascii="Arial" w:eastAsiaTheme="majorEastAsia" w:hAnsi="Arial" w:cstheme="majorBidi"/>
          <w:b/>
          <w:bCs/>
          <w:caps/>
          <w:color w:val="C00000"/>
          <w:spacing w:val="5"/>
          <w:sz w:val="32"/>
          <w:szCs w:val="26"/>
          <w:lang w:val="en-GB" w:bidi="fr-FR"/>
        </w:rPr>
      </w:pPr>
      <w:r w:rsidRPr="00C61820">
        <w:rPr>
          <w:rFonts w:ascii="Arial" w:hAnsi="Arial" w:cs="Arial"/>
          <w:noProof/>
          <w:u w:val="single"/>
        </w:rPr>
        <mc:AlternateContent>
          <mc:Choice Requires="wps">
            <w:drawing>
              <wp:anchor distT="365760" distB="365760" distL="252095" distR="252095" simplePos="0" relativeHeight="251660288" behindDoc="1" locked="0" layoutInCell="1" allowOverlap="1" wp14:anchorId="68C70AE4" wp14:editId="4405C4D9">
                <wp:simplePos x="0" y="0"/>
                <wp:positionH relativeFrom="margin">
                  <wp:posOffset>-283210</wp:posOffset>
                </wp:positionH>
                <wp:positionV relativeFrom="margin">
                  <wp:posOffset>832485</wp:posOffset>
                </wp:positionV>
                <wp:extent cx="2274570" cy="3267075"/>
                <wp:effectExtent l="0" t="0" r="36830" b="34925"/>
                <wp:wrapThrough wrapText="bothSides">
                  <wp:wrapPolygon edited="0">
                    <wp:start x="0" y="0"/>
                    <wp:lineTo x="0" y="21663"/>
                    <wp:lineTo x="21709" y="21663"/>
                    <wp:lineTo x="21709" y="0"/>
                    <wp:lineTo x="0" y="0"/>
                  </wp:wrapPolygon>
                </wp:wrapThrough>
                <wp:docPr id="136" name="Text Box 136"/>
                <wp:cNvGraphicFramePr/>
                <a:graphic xmlns:a="http://schemas.openxmlformats.org/drawingml/2006/main">
                  <a:graphicData uri="http://schemas.microsoft.com/office/word/2010/wordprocessingShape">
                    <wps:wsp>
                      <wps:cNvSpPr txBox="1"/>
                      <wps:spPr>
                        <a:xfrm>
                          <a:off x="0" y="0"/>
                          <a:ext cx="2274570" cy="3267075"/>
                        </a:xfrm>
                        <a:prstGeom prst="rect">
                          <a:avLst/>
                        </a:prstGeom>
                        <a:noFill/>
                        <a:ln w="12700">
                          <a:solidFill>
                            <a:srgbClr val="4BACC6"/>
                          </a:solidFill>
                        </a:ln>
                        <a:effectLst/>
                      </wps:spPr>
                      <wps:txbx>
                        <w:txbxContent>
                          <w:p w14:paraId="297F7ACC" w14:textId="77777777" w:rsidR="005F53A9" w:rsidRPr="007B4F52" w:rsidRDefault="005F53A9" w:rsidP="005F53A9">
                            <w:pPr>
                              <w:pBdr>
                                <w:top w:val="single" w:sz="4" w:space="4" w:color="4BACC6" w:themeColor="accent5"/>
                                <w:left w:val="single" w:sz="4" w:space="4" w:color="4BACC6" w:themeColor="accent5"/>
                                <w:bottom w:val="single" w:sz="4" w:space="6" w:color="4BACC6" w:themeColor="accent5"/>
                                <w:right w:val="single" w:sz="4" w:space="4" w:color="4BACC6" w:themeColor="accent5"/>
                              </w:pBdr>
                              <w:shd w:val="clear" w:color="auto" w:fill="4BACC6" w:themeFill="accent5"/>
                              <w:spacing w:after="0" w:line="240" w:lineRule="auto"/>
                              <w:ind w:left="142" w:right="102"/>
                              <w:rPr>
                                <w:color w:val="FFFFFF" w:themeColor="background1"/>
                              </w:rPr>
                            </w:pPr>
                            <w:r>
                              <w:rPr>
                                <w:color w:val="FFFFFF" w:themeColor="background1"/>
                              </w:rPr>
                              <w:t>Les principes clés de l'accord de partenariat de Cotonou</w:t>
                            </w:r>
                          </w:p>
                          <w:p w14:paraId="1A96AD04" w14:textId="77777777" w:rsidR="005F53A9" w:rsidRDefault="005F53A9" w:rsidP="005F53A9">
                            <w:pPr>
                              <w:pStyle w:val="Pardeliste"/>
                              <w:numPr>
                                <w:ilvl w:val="0"/>
                                <w:numId w:val="33"/>
                              </w:numPr>
                              <w:ind w:left="426"/>
                              <w:jc w:val="left"/>
                              <w:rPr>
                                <w:color w:val="31849B" w:themeColor="accent5" w:themeShade="BF"/>
                              </w:rPr>
                            </w:pPr>
                            <w:r>
                              <w:rPr>
                                <w:color w:val="31849B" w:themeColor="accent5" w:themeShade="BF"/>
                              </w:rPr>
                              <w:t xml:space="preserve">Égalité entre les partenaires et appropriation des stratégies de développement </w:t>
                            </w:r>
                          </w:p>
                          <w:p w14:paraId="2178422E" w14:textId="77777777" w:rsidR="005F53A9" w:rsidRDefault="005F53A9" w:rsidP="005F53A9">
                            <w:pPr>
                              <w:pStyle w:val="Pardeliste"/>
                              <w:numPr>
                                <w:ilvl w:val="0"/>
                                <w:numId w:val="33"/>
                              </w:numPr>
                              <w:ind w:left="426"/>
                              <w:jc w:val="left"/>
                              <w:rPr>
                                <w:color w:val="31849B" w:themeColor="accent5" w:themeShade="BF"/>
                              </w:rPr>
                            </w:pPr>
                            <w:r>
                              <w:rPr>
                                <w:color w:val="31849B" w:themeColor="accent5" w:themeShade="BF"/>
                              </w:rPr>
                              <w:t>Participation : ouverte à différents types d'acteurs, y compris à des acteurs non-étatiques</w:t>
                            </w:r>
                          </w:p>
                          <w:p w14:paraId="1D8F9C61" w14:textId="77777777" w:rsidR="005F53A9" w:rsidRDefault="005F53A9" w:rsidP="005F53A9">
                            <w:pPr>
                              <w:pStyle w:val="Pardeliste"/>
                              <w:numPr>
                                <w:ilvl w:val="0"/>
                                <w:numId w:val="33"/>
                              </w:numPr>
                              <w:ind w:left="426"/>
                              <w:jc w:val="left"/>
                              <w:rPr>
                                <w:color w:val="31849B" w:themeColor="accent5" w:themeShade="BF"/>
                              </w:rPr>
                            </w:pPr>
                            <w:r>
                              <w:rPr>
                                <w:color w:val="31849B" w:themeColor="accent5" w:themeShade="BF"/>
                              </w:rPr>
                              <w:t xml:space="preserve">Rôle central du dialogue et respect des obligations mutuelles </w:t>
                            </w:r>
                          </w:p>
                          <w:p w14:paraId="296EFB86" w14:textId="77777777" w:rsidR="005F53A9" w:rsidRPr="000D7CC2" w:rsidRDefault="005F53A9" w:rsidP="005F53A9">
                            <w:pPr>
                              <w:pStyle w:val="Pardeliste"/>
                              <w:numPr>
                                <w:ilvl w:val="0"/>
                                <w:numId w:val="33"/>
                              </w:numPr>
                              <w:ind w:left="426"/>
                              <w:jc w:val="left"/>
                              <w:rPr>
                                <w:color w:val="31849B" w:themeColor="accent5" w:themeShade="BF"/>
                              </w:rPr>
                            </w:pPr>
                            <w:r>
                              <w:rPr>
                                <w:color w:val="31849B" w:themeColor="accent5" w:themeShade="BF"/>
                              </w:rPr>
                              <w:t xml:space="preserve">Différentiation et régionalisation : les accords et priorités de coopération varient selon le niveau de développement du partenaire.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70AE4" id="_x0000_t202" coordsize="21600,21600" o:spt="202" path="m0,0l0,21600,21600,21600,21600,0xe">
                <v:stroke joinstyle="miter"/>
                <v:path gradientshapeok="t" o:connecttype="rect"/>
              </v:shapetype>
              <v:shape id="Text_x0020_Box_x0020_136" o:spid="_x0000_s1026" type="#_x0000_t202" style="position:absolute;left:0;text-align:left;margin-left:-22.3pt;margin-top:65.55pt;width:179.1pt;height:257.25pt;z-index:-251656192;visibility:visible;mso-wrap-style:square;mso-width-percent:0;mso-height-percent:0;mso-wrap-distance-left:19.85pt;mso-wrap-distance-top:28.8pt;mso-wrap-distance-right:19.85pt;mso-wrap-distance-bottom:28.8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" filled="f" strokecolor="#4bacc6" strokeweight="1pt">
                <v:textbox inset="0,0,0,0">
                  <w:txbxContent>
                    <w:p w14:paraId="297F7ACC" w14:textId="77777777" w:rsidR="005F53A9" w:rsidRPr="007B4F52" w:rsidRDefault="005F53A9" w:rsidP="005F53A9">
                      <w:pPr>
                        <w:pBdr>
                          <w:top w:val="single" w:sz="4" w:space="4" w:color="4BACC6" w:themeColor="accent5"/>
                          <w:left w:val="single" w:sz="4" w:space="4" w:color="4BACC6" w:themeColor="accent5"/>
                          <w:bottom w:val="single" w:sz="4" w:space="6" w:color="4BACC6" w:themeColor="accent5"/>
                          <w:right w:val="single" w:sz="4" w:space="4" w:color="4BACC6" w:themeColor="accent5"/>
                        </w:pBdr>
                        <w:shd w:val="clear" w:color="auto" w:fill="4BACC6" w:themeFill="accent5"/>
                        <w:spacing w:after="0" w:line="240" w:lineRule="auto"/>
                        <w:ind w:left="142" w:right="102"/>
                        <w:rPr>
                          <w:color w:val="FFFFFF" w:themeColor="background1"/>
                        </w:rPr>
                      </w:pPr>
                      <w:r>
                        <w:rPr>
                          <w:color w:val="FFFFFF" w:themeColor="background1"/>
                        </w:rPr>
                        <w:t>Les principes clés de l'accord de partenariat de Cotonou</w:t>
                      </w:r>
                    </w:p>
                    <w:p w14:paraId="1A96AD04" w14:textId="77777777" w:rsidR="005F53A9" w:rsidRDefault="005F53A9" w:rsidP="005F53A9">
                      <w:pPr>
                        <w:pStyle w:val="Pardeliste"/>
                        <w:numPr>
                          <w:ilvl w:val="0"/>
                          <w:numId w:val="33"/>
                        </w:numPr>
                        <w:ind w:left="426"/>
                        <w:jc w:val="left"/>
                        <w:rPr>
                          <w:color w:val="31849B" w:themeColor="accent5" w:themeShade="BF"/>
                        </w:rPr>
                      </w:pPr>
                      <w:r>
                        <w:rPr>
                          <w:color w:val="31849B" w:themeColor="accent5" w:themeShade="BF"/>
                        </w:rPr>
                        <w:t xml:space="preserve">Égalité entre les partenaires et appropriation des stratégies de développement </w:t>
                      </w:r>
                    </w:p>
                    <w:p w14:paraId="2178422E" w14:textId="77777777" w:rsidR="005F53A9" w:rsidRDefault="005F53A9" w:rsidP="005F53A9">
                      <w:pPr>
                        <w:pStyle w:val="Pardeliste"/>
                        <w:numPr>
                          <w:ilvl w:val="0"/>
                          <w:numId w:val="33"/>
                        </w:numPr>
                        <w:ind w:left="426"/>
                        <w:jc w:val="left"/>
                        <w:rPr>
                          <w:color w:val="31849B" w:themeColor="accent5" w:themeShade="BF"/>
                        </w:rPr>
                      </w:pPr>
                      <w:r>
                        <w:rPr>
                          <w:color w:val="31849B" w:themeColor="accent5" w:themeShade="BF"/>
                        </w:rPr>
                        <w:t>Participation : ouverte à différents types d'acteurs, y compris à des acteurs non-étatiques</w:t>
                      </w:r>
                    </w:p>
                    <w:p w14:paraId="1D8F9C61" w14:textId="77777777" w:rsidR="005F53A9" w:rsidRDefault="005F53A9" w:rsidP="005F53A9">
                      <w:pPr>
                        <w:pStyle w:val="Pardeliste"/>
                        <w:numPr>
                          <w:ilvl w:val="0"/>
                          <w:numId w:val="33"/>
                        </w:numPr>
                        <w:ind w:left="426"/>
                        <w:jc w:val="left"/>
                        <w:rPr>
                          <w:color w:val="31849B" w:themeColor="accent5" w:themeShade="BF"/>
                        </w:rPr>
                      </w:pPr>
                      <w:r>
                        <w:rPr>
                          <w:color w:val="31849B" w:themeColor="accent5" w:themeShade="BF"/>
                        </w:rPr>
                        <w:t xml:space="preserve">Rôle central du dialogue et respect des obligations mutuelles </w:t>
                      </w:r>
                    </w:p>
                    <w:p w14:paraId="296EFB86" w14:textId="77777777" w:rsidR="005F53A9" w:rsidRPr="000D7CC2" w:rsidRDefault="005F53A9" w:rsidP="005F53A9">
                      <w:pPr>
                        <w:pStyle w:val="Pardeliste"/>
                        <w:numPr>
                          <w:ilvl w:val="0"/>
                          <w:numId w:val="33"/>
                        </w:numPr>
                        <w:ind w:left="426"/>
                        <w:jc w:val="left"/>
                        <w:rPr>
                          <w:color w:val="31849B" w:themeColor="accent5" w:themeShade="BF"/>
                        </w:rPr>
                      </w:pPr>
                      <w:r>
                        <w:rPr>
                          <w:color w:val="31849B" w:themeColor="accent5" w:themeShade="BF"/>
                        </w:rPr>
                        <w:t xml:space="preserve">Différentiation et régionalisation : les accords et priorités de coopération varient selon le niveau de développement du partenaire. </w:t>
                      </w:r>
                    </w:p>
                  </w:txbxContent>
                </v:textbox>
                <w10:wrap type="through" anchorx="margin" anchory="margin"/>
              </v:shape>
            </w:pict>
          </mc:Fallback>
        </mc:AlternateContent>
      </w:r>
    </w:p>
    <w:p w14:paraId="3CB8491E" w14:textId="08DBCAB5" w:rsidR="005F53A9" w:rsidRPr="00C61820" w:rsidRDefault="005F53A9" w:rsidP="005F53A9">
      <w:pPr>
        <w:ind w:left="-567"/>
        <w:rPr>
          <w:rFonts w:ascii="Arial" w:hAnsi="Arial" w:cs="Arial"/>
        </w:rPr>
      </w:pPr>
      <w:r w:rsidRPr="00C61820">
        <w:rPr>
          <w:rFonts w:ascii="Arial" w:hAnsi="Arial" w:cs="Arial"/>
        </w:rPr>
        <w:t>L'accord de partenariat de Cotonou (APC) constitue le cadre légal pour les relations entre l'UE et les États d'Afrique, des Caraïbes et du Pacifique (ACP).  Ce groupe compte 79 membres dont 78 ont ratifié l'APC (Cuba étant l'exception).  La coopération ACP-UE remonte à la naissance du traité de Rome instituant la Communauté économique européenne en 1957, exprimant ainsi la solidarité avec les colonies et pays et territoires d'outre-mer, et un engagement à contribuer à leur prospérité. Les premiers accords d'association officiels furent Yaoundé I et II dans les années 1960, suivis par les conventions de Lomé (I-IV), couvrant la période de 1975 à 2000. Comme la dimension politique, le dialogue et les droits de l'homme devinrent de plus en plus importants au fil des ans, les conventions de Lomé introduisirent une nouvelle approche à la coopération au développement, fondée sur l'idée d'un partenariat équitable.</w:t>
      </w:r>
    </w:p>
    <w:p w14:paraId="04D9D6C6" w14:textId="77777777" w:rsidR="005F53A9" w:rsidRPr="00C61820" w:rsidRDefault="005F53A9" w:rsidP="005F53A9">
      <w:pPr>
        <w:ind w:left="-567"/>
        <w:rPr>
          <w:rFonts w:ascii="Arial" w:eastAsia="Calibri" w:hAnsi="Arial" w:cs="Arial"/>
        </w:rPr>
      </w:pPr>
      <w:r w:rsidRPr="00C61820">
        <w:rPr>
          <w:rFonts w:ascii="Arial" w:hAnsi="Arial" w:cs="Arial"/>
        </w:rPr>
        <w:t xml:space="preserve">Dans l'esprit de cette nouvelle approche de la coopération au développement, l'accord de partenariat de Cotonou a été établi en 2000 avec pour objectif de réduire et, à terme, d'éradiquer la pauvreté, en accord avec les objectifs de développement durable et l'intégration graduelle des pays ACP dans l'économie mondiale. L'accord a été révisé en 2005 et en 2010. </w:t>
      </w:r>
    </w:p>
    <w:p w14:paraId="3411195C" w14:textId="49B556A0" w:rsidR="005F53A9" w:rsidRPr="00C61820" w:rsidRDefault="005F53A9" w:rsidP="005F53A9">
      <w:pPr>
        <w:ind w:left="-567"/>
        <w:rPr>
          <w:rFonts w:ascii="Arial" w:eastAsia="Calibri" w:hAnsi="Arial" w:cs="Arial"/>
        </w:rPr>
      </w:pPr>
      <w:r w:rsidRPr="00C61820">
        <w:rPr>
          <w:rFonts w:ascii="Arial" w:hAnsi="Arial" w:cs="Arial"/>
        </w:rPr>
        <w:t>L'accord de partenariat de Cotonou expirera en 2020. Les négociations officielles concernant l'avenir de ce partenariat débuteront en 2018 entre les deux parties. En vue d'étoffer la position de l'UE et de l'ACP, des réflexions, consultations et études ont été initiées pour tirer des leçons du passé et identifier les options possibles pour le futur.</w:t>
      </w:r>
    </w:p>
    <w:p w14:paraId="0F06B771" w14:textId="4CC9047A" w:rsidR="005F53A9" w:rsidRPr="00C61820" w:rsidRDefault="005F53A9" w:rsidP="005F53A9">
      <w:pPr>
        <w:ind w:left="-567"/>
        <w:contextualSpacing/>
        <w:rPr>
          <w:rFonts w:ascii="Arial" w:eastAsia="Calibri" w:hAnsi="Arial" w:cs="Arial"/>
        </w:rPr>
      </w:pPr>
      <w:r w:rsidRPr="00C61820">
        <w:rPr>
          <w:rFonts w:ascii="Arial" w:eastAsia="Calibri" w:hAnsi="Arial" w:cs="Arial"/>
          <w:noProof/>
        </w:rPr>
        <w:drawing>
          <wp:anchor distT="0" distB="0" distL="180340" distR="180340" simplePos="0" relativeHeight="251659264" behindDoc="1" locked="0" layoutInCell="1" allowOverlap="1" wp14:anchorId="24504AB7" wp14:editId="6FFEEBEE">
            <wp:simplePos x="0" y="0"/>
            <wp:positionH relativeFrom="column">
              <wp:posOffset>-520700</wp:posOffset>
            </wp:positionH>
            <wp:positionV relativeFrom="paragraph">
              <wp:posOffset>-3175</wp:posOffset>
            </wp:positionV>
            <wp:extent cx="1091565" cy="981075"/>
            <wp:effectExtent l="0" t="0" r="0" b="9525"/>
            <wp:wrapThrough wrapText="bothSides">
              <wp:wrapPolygon edited="0">
                <wp:start x="0" y="0"/>
                <wp:lineTo x="0" y="21390"/>
                <wp:lineTo x="21110" y="21390"/>
                <wp:lineTo x="211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6404" t="3130" b="8696"/>
                    <a:stretch/>
                  </pic:blipFill>
                  <pic:spPr bwMode="auto">
                    <a:xfrm>
                      <a:off x="0" y="0"/>
                      <a:ext cx="1091565"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1820">
        <w:rPr>
          <w:rFonts w:ascii="Arial" w:hAnsi="Arial" w:cs="Arial"/>
          <w:b/>
        </w:rPr>
        <w:t xml:space="preserve">Les trois piliers de l'accord de partenariat de Cotonou </w:t>
      </w:r>
    </w:p>
    <w:p w14:paraId="0FB81570" w14:textId="036A52CE" w:rsidR="005F53A9" w:rsidRDefault="005F53A9" w:rsidP="005F53A9">
      <w:pPr>
        <w:ind w:left="-567"/>
        <w:rPr>
          <w:rFonts w:ascii="Arial" w:hAnsi="Arial" w:cs="Arial"/>
        </w:rPr>
      </w:pPr>
      <w:r w:rsidRPr="00C61820">
        <w:rPr>
          <w:rFonts w:ascii="Arial" w:hAnsi="Arial" w:cs="Arial"/>
        </w:rPr>
        <w:t>L'accord de partenariat de Cotonou repose sur trois piliers complémentaires : la coopération au développement, la coopération économique et commerciale, et la dimension politique.</w:t>
      </w:r>
    </w:p>
    <w:p w14:paraId="64BD9345" w14:textId="77777777" w:rsidR="005F53A9" w:rsidRDefault="005F53A9" w:rsidP="005F53A9">
      <w:pPr>
        <w:ind w:left="-567"/>
        <w:rPr>
          <w:rFonts w:ascii="Arial" w:hAnsi="Arial" w:cs="Arial"/>
        </w:rPr>
      </w:pPr>
    </w:p>
    <w:p w14:paraId="57C79F3F" w14:textId="77777777" w:rsidR="005F53A9" w:rsidRDefault="005F53A9" w:rsidP="005F53A9">
      <w:pPr>
        <w:ind w:left="-567"/>
        <w:rPr>
          <w:rFonts w:ascii="Arial" w:hAnsi="Arial" w:cs="Arial"/>
        </w:rPr>
      </w:pPr>
    </w:p>
    <w:p w14:paraId="20352448" w14:textId="77777777" w:rsidR="005F53A9" w:rsidRDefault="005F53A9" w:rsidP="005F53A9">
      <w:pPr>
        <w:ind w:left="-567"/>
        <w:rPr>
          <w:rFonts w:ascii="Arial" w:hAnsi="Arial" w:cs="Arial"/>
        </w:rPr>
      </w:pPr>
    </w:p>
    <w:p w14:paraId="31BDA351" w14:textId="77777777" w:rsidR="005F53A9" w:rsidRDefault="005F53A9" w:rsidP="005F53A9">
      <w:pPr>
        <w:ind w:left="-567"/>
        <w:rPr>
          <w:rFonts w:ascii="Arial" w:hAnsi="Arial" w:cs="Arial"/>
        </w:rPr>
      </w:pPr>
    </w:p>
    <w:p w14:paraId="52F81D44" w14:textId="77777777" w:rsidR="005F53A9" w:rsidRDefault="005F53A9" w:rsidP="005F53A9">
      <w:pPr>
        <w:ind w:left="-567"/>
        <w:rPr>
          <w:rFonts w:ascii="Arial" w:hAnsi="Arial" w:cs="Arial"/>
        </w:rPr>
      </w:pPr>
    </w:p>
    <w:p w14:paraId="21ADEF97" w14:textId="77777777" w:rsidR="005F53A9" w:rsidRDefault="005F53A9" w:rsidP="005F53A9">
      <w:pPr>
        <w:ind w:left="-567"/>
        <w:rPr>
          <w:rFonts w:ascii="Arial" w:hAnsi="Arial" w:cs="Arial"/>
        </w:rPr>
      </w:pPr>
    </w:p>
    <w:p w14:paraId="28CD3D83" w14:textId="77777777" w:rsidR="005F53A9" w:rsidRPr="00C61820" w:rsidRDefault="005F53A9" w:rsidP="005F53A9">
      <w:pPr>
        <w:ind w:left="-567"/>
        <w:rPr>
          <w:rFonts w:ascii="Arial" w:eastAsia="Calibri" w:hAnsi="Arial" w:cs="Arial"/>
        </w:rPr>
      </w:pPr>
    </w:p>
    <w:p w14:paraId="241B23AF" w14:textId="77777777" w:rsidR="005F53A9" w:rsidRPr="005F53A9" w:rsidRDefault="005F53A9" w:rsidP="005F53A9">
      <w:pPr>
        <w:pStyle w:val="Pardeliste"/>
        <w:numPr>
          <w:ilvl w:val="0"/>
          <w:numId w:val="34"/>
        </w:numPr>
        <w:spacing w:after="0"/>
        <w:ind w:left="-567" w:hanging="357"/>
        <w:rPr>
          <w:rFonts w:ascii="Arial" w:eastAsia="Calibri" w:hAnsi="Arial" w:cs="Arial"/>
          <w:b/>
          <w:color w:val="C00000"/>
        </w:rPr>
      </w:pPr>
      <w:r w:rsidRPr="005F53A9">
        <w:rPr>
          <w:rFonts w:ascii="Arial" w:hAnsi="Arial" w:cs="Arial"/>
          <w:b/>
          <w:color w:val="C00000"/>
        </w:rPr>
        <w:t xml:space="preserve">Coopération au développement </w:t>
      </w:r>
    </w:p>
    <w:p w14:paraId="4034BAAE" w14:textId="77777777" w:rsidR="005F53A9" w:rsidRPr="00C61820" w:rsidRDefault="005F53A9" w:rsidP="005F53A9">
      <w:pPr>
        <w:autoSpaceDE w:val="0"/>
        <w:autoSpaceDN w:val="0"/>
        <w:adjustRightInd w:val="0"/>
        <w:spacing w:after="0"/>
        <w:ind w:left="-567"/>
        <w:rPr>
          <w:rFonts w:ascii="Arial" w:eastAsia="Calibri" w:hAnsi="Arial" w:cs="Arial"/>
        </w:rPr>
      </w:pPr>
      <w:r w:rsidRPr="00C61820">
        <w:rPr>
          <w:rFonts w:ascii="Arial" w:hAnsi="Arial" w:cs="Arial"/>
        </w:rPr>
        <w:t xml:space="preserve">L'APC identifie des stratégies de développement qui doivent soutenir le développement économique, le développement social et humain, la coopération et l'intégration régionales, et des questions thématiques et transversales, ces dernières comprenant des priorités comme le genre, le changement climatique et les capacités institutionnelles. L'instrument clé de l'UE pour soutenir ces stratégies est le Fonds européen de développement (FED). Le FED est l'instrument géographique le plus vaste pour la coopération au développement et l'instrument principal pour fournir une aide au développement aux pays ACP et aux pays et territoires d'outre-mer (PTOM). Il ne fait pas partie du budget général de l'UE car il est financé par des contributions directes des États membres de l'UE selon une clé de contribution spécifique. Le FED est géré par la Commission européenne. Les ressources financières totales du 11ème FED s'élèvent à 30,5 milliards d'euros pour la période de 2014-2020, dont une petite partie représente les dépenses administratives et le financement pour les pays et territoires d'outre-mer. Dans le 11ème FED, 29,1 milliards d'euros sont disponibles pour les pays ACP, ce montant étant divisé en trois sous-catégories d'instruments de dépense ou de coopération :  </w:t>
      </w:r>
    </w:p>
    <w:p w14:paraId="41EA7157" w14:textId="77777777" w:rsidR="005F53A9" w:rsidRPr="00C61820" w:rsidRDefault="005F53A9" w:rsidP="005F53A9">
      <w:pPr>
        <w:pStyle w:val="Pardeliste"/>
        <w:numPr>
          <w:ilvl w:val="0"/>
          <w:numId w:val="35"/>
        </w:numPr>
        <w:autoSpaceDE w:val="0"/>
        <w:autoSpaceDN w:val="0"/>
        <w:adjustRightInd w:val="0"/>
        <w:spacing w:after="0"/>
        <w:ind w:left="-567"/>
        <w:rPr>
          <w:rFonts w:ascii="Arial" w:hAnsi="Arial" w:cs="Arial"/>
        </w:rPr>
      </w:pPr>
      <w:r w:rsidRPr="00C61820">
        <w:rPr>
          <w:rFonts w:ascii="Arial" w:hAnsi="Arial" w:cs="Arial"/>
          <w:i/>
        </w:rPr>
        <w:t>Les programmes indicatifs nationaux et régionaux</w:t>
      </w:r>
      <w:r w:rsidRPr="00C61820">
        <w:rPr>
          <w:rFonts w:ascii="Arial" w:hAnsi="Arial" w:cs="Arial"/>
        </w:rPr>
        <w:t xml:space="preserve"> (84% des ressources du FED pour l'ACP) soutiennent des pays ACP ou la coopération et l'intégration régionales des pays ACP.</w:t>
      </w:r>
    </w:p>
    <w:p w14:paraId="5A0ADF0F" w14:textId="77777777" w:rsidR="005F53A9" w:rsidRPr="00C61820" w:rsidRDefault="005F53A9" w:rsidP="005F53A9">
      <w:pPr>
        <w:pStyle w:val="Pardeliste"/>
        <w:numPr>
          <w:ilvl w:val="0"/>
          <w:numId w:val="35"/>
        </w:numPr>
        <w:autoSpaceDE w:val="0"/>
        <w:autoSpaceDN w:val="0"/>
        <w:adjustRightInd w:val="0"/>
        <w:spacing w:after="0"/>
        <w:ind w:left="-567"/>
        <w:rPr>
          <w:rFonts w:ascii="Arial" w:hAnsi="Arial" w:cs="Arial"/>
        </w:rPr>
      </w:pPr>
      <w:r w:rsidRPr="00C61820">
        <w:rPr>
          <w:rFonts w:ascii="Arial" w:hAnsi="Arial" w:cs="Arial"/>
          <w:i/>
        </w:rPr>
        <w:t>La coopération intra-ACP et interrégionale</w:t>
      </w:r>
      <w:r w:rsidRPr="00C61820">
        <w:rPr>
          <w:rFonts w:ascii="Arial" w:hAnsi="Arial" w:cs="Arial"/>
        </w:rPr>
        <w:t xml:space="preserve"> (12%) couvre les actions thématiques (par ex. sur l'énergie ou l'éducation) qui sont communes à un grand nombre ou à tous les pays ACP.</w:t>
      </w:r>
    </w:p>
    <w:p w14:paraId="6E1C3516" w14:textId="77777777" w:rsidR="005F53A9" w:rsidRPr="00C61820" w:rsidRDefault="005F53A9" w:rsidP="005F53A9">
      <w:pPr>
        <w:pStyle w:val="Pardeliste"/>
        <w:numPr>
          <w:ilvl w:val="0"/>
          <w:numId w:val="35"/>
        </w:numPr>
        <w:autoSpaceDE w:val="0"/>
        <w:autoSpaceDN w:val="0"/>
        <w:adjustRightInd w:val="0"/>
        <w:spacing w:after="0"/>
        <w:ind w:left="-567"/>
        <w:rPr>
          <w:rFonts w:ascii="Arial" w:hAnsi="Arial" w:cs="Arial"/>
        </w:rPr>
      </w:pPr>
      <w:r w:rsidRPr="00C61820">
        <w:rPr>
          <w:rFonts w:ascii="Arial" w:hAnsi="Arial" w:cs="Arial"/>
        </w:rPr>
        <w:t>La facilité d'investissement (4%) est gérée par la Banque européenne d'investissement et fournit un large éventail d'instruments financiers pour financer des opérations à plus haut risque</w:t>
      </w:r>
    </w:p>
    <w:p w14:paraId="4B2D89BF" w14:textId="77777777" w:rsidR="005F53A9" w:rsidRPr="00C61820" w:rsidRDefault="005F53A9" w:rsidP="005F53A9">
      <w:pPr>
        <w:autoSpaceDE w:val="0"/>
        <w:autoSpaceDN w:val="0"/>
        <w:adjustRightInd w:val="0"/>
        <w:spacing w:after="0"/>
        <w:ind w:left="-567"/>
        <w:rPr>
          <w:rFonts w:ascii="Arial" w:eastAsia="Calibri" w:hAnsi="Arial" w:cs="Arial"/>
          <w:b/>
        </w:rPr>
      </w:pPr>
    </w:p>
    <w:p w14:paraId="2D0A4EDC" w14:textId="77777777" w:rsidR="005F53A9" w:rsidRPr="00C61820" w:rsidRDefault="005F53A9" w:rsidP="005F53A9">
      <w:pPr>
        <w:autoSpaceDE w:val="0"/>
        <w:autoSpaceDN w:val="0"/>
        <w:adjustRightInd w:val="0"/>
        <w:spacing w:after="0"/>
        <w:ind w:left="-567"/>
        <w:rPr>
          <w:rFonts w:ascii="Arial" w:eastAsia="Calibri" w:hAnsi="Arial" w:cs="Arial"/>
          <w:b/>
        </w:rPr>
      </w:pPr>
    </w:p>
    <w:p w14:paraId="7F802C07" w14:textId="77777777" w:rsidR="005F53A9" w:rsidRPr="00C61820" w:rsidRDefault="005F53A9" w:rsidP="005F53A9">
      <w:pPr>
        <w:autoSpaceDE w:val="0"/>
        <w:autoSpaceDN w:val="0"/>
        <w:adjustRightInd w:val="0"/>
        <w:spacing w:after="0"/>
        <w:ind w:left="-567"/>
        <w:rPr>
          <w:rFonts w:ascii="Arial" w:eastAsia="Calibri" w:hAnsi="Arial" w:cs="Arial"/>
          <w:b/>
        </w:rPr>
      </w:pPr>
    </w:p>
    <w:p w14:paraId="73260E23" w14:textId="77777777" w:rsidR="005F53A9" w:rsidRPr="005F53A9" w:rsidRDefault="005F53A9" w:rsidP="005F53A9">
      <w:pPr>
        <w:pStyle w:val="Pardeliste"/>
        <w:numPr>
          <w:ilvl w:val="0"/>
          <w:numId w:val="34"/>
        </w:numPr>
        <w:autoSpaceDE w:val="0"/>
        <w:autoSpaceDN w:val="0"/>
        <w:adjustRightInd w:val="0"/>
        <w:spacing w:after="0"/>
        <w:ind w:left="-567"/>
        <w:rPr>
          <w:rFonts w:ascii="Arial" w:hAnsi="Arial" w:cs="Arial"/>
          <w:b/>
          <w:color w:val="C00000"/>
        </w:rPr>
      </w:pPr>
      <w:r w:rsidRPr="005F53A9">
        <w:rPr>
          <w:rFonts w:ascii="Arial" w:hAnsi="Arial" w:cs="Arial"/>
          <w:b/>
          <w:color w:val="C00000"/>
        </w:rPr>
        <w:t>Une composante économique et commerciale : les accords de partenariat économique (APE)</w:t>
      </w:r>
    </w:p>
    <w:p w14:paraId="15F94FD3" w14:textId="77777777" w:rsidR="005F53A9" w:rsidRPr="00C61820" w:rsidRDefault="005F53A9" w:rsidP="005F53A9">
      <w:pPr>
        <w:spacing w:after="0"/>
        <w:ind w:left="-567"/>
        <w:rPr>
          <w:rFonts w:ascii="Arial" w:eastAsia="Calibri" w:hAnsi="Arial" w:cs="Arial"/>
        </w:rPr>
      </w:pPr>
      <w:r w:rsidRPr="00C61820">
        <w:rPr>
          <w:rFonts w:ascii="Arial" w:hAnsi="Arial" w:cs="Arial"/>
        </w:rPr>
        <w:t xml:space="preserve">Sous les conventions de Yaoundé et de Lomé, un régime commercial préférentiel entre les pays ACP et l'UE a été mis en place. Toutefois, l'OMC a statué que cela était contraire à la réglementation du commerce international, créant ainsi un désavantage pour les autres pays. Afin que les pays ACP conservent leur accès préférentiel aux marchés de l'UE, des accords de libre-échange (les APE) devaient être négociés. Ces accords furent définis par les principes suivants : La réciprocité (ce qui signifie plus de libéralisation pour un ensemble de produits et de services), l'intégration régionale, la différentiation, reposant en grande partie sur la situation économique (PNB) des pays ACP. Par conséquent, dans la révision APC de 2010, l'annexe concernant le commerce a été retirée de l'APC et les articles commerciaux ont été profondément modifiés, afin d'être conformes aux règles de l'OMC. Aujourd'hui, les APE sont établis avec le Cariforum (Caraïbes) et la CÉDÉAO (Afrique de l'Ouest). Le processus vers la conclusion d'APE avec d'autres régions est toujours en cours et certains pays ACP ont signé un APE intérimaire avec l'UE. De plus amples informations sur ce processus sont disponibles sur le </w:t>
      </w:r>
      <w:hyperlink r:id="rId8">
        <w:r w:rsidRPr="00C61820">
          <w:rPr>
            <w:rStyle w:val="Lienhypertexte"/>
            <w:rFonts w:ascii="Arial" w:hAnsi="Arial" w:cs="Arial"/>
          </w:rPr>
          <w:t>site de la CE</w:t>
        </w:r>
      </w:hyperlink>
      <w:r w:rsidRPr="00C61820">
        <w:rPr>
          <w:rFonts w:ascii="Arial" w:hAnsi="Arial" w:cs="Arial"/>
        </w:rPr>
        <w:t>.</w:t>
      </w:r>
    </w:p>
    <w:p w14:paraId="187815EA" w14:textId="77777777" w:rsidR="005F53A9" w:rsidRPr="00C61820" w:rsidRDefault="005F53A9" w:rsidP="005F53A9">
      <w:pPr>
        <w:spacing w:after="0"/>
        <w:ind w:left="-567"/>
        <w:rPr>
          <w:rFonts w:ascii="Arial" w:eastAsia="Calibri" w:hAnsi="Arial" w:cs="Arial"/>
        </w:rPr>
      </w:pPr>
    </w:p>
    <w:p w14:paraId="51ED77B1" w14:textId="77777777" w:rsidR="005F53A9" w:rsidRPr="005F53A9" w:rsidRDefault="005F53A9" w:rsidP="005F53A9">
      <w:pPr>
        <w:pStyle w:val="Pardeliste"/>
        <w:numPr>
          <w:ilvl w:val="0"/>
          <w:numId w:val="34"/>
        </w:numPr>
        <w:spacing w:after="0"/>
        <w:ind w:left="-567" w:hanging="357"/>
        <w:jc w:val="left"/>
        <w:rPr>
          <w:rFonts w:ascii="Arial" w:hAnsi="Arial" w:cs="Arial"/>
          <w:b/>
          <w:color w:val="C00000"/>
        </w:rPr>
      </w:pPr>
      <w:r w:rsidRPr="005F53A9">
        <w:rPr>
          <w:rFonts w:ascii="Arial" w:hAnsi="Arial" w:cs="Arial"/>
          <w:b/>
          <w:color w:val="C00000"/>
        </w:rPr>
        <w:t>Dialogue politique</w:t>
      </w:r>
    </w:p>
    <w:p w14:paraId="1E15984C" w14:textId="77777777" w:rsidR="005F53A9" w:rsidRPr="00C61820" w:rsidRDefault="005F53A9" w:rsidP="005F53A9">
      <w:pPr>
        <w:ind w:left="-567"/>
        <w:rPr>
          <w:rFonts w:ascii="Arial" w:hAnsi="Arial" w:cs="Arial"/>
        </w:rPr>
      </w:pPr>
      <w:r w:rsidRPr="00C61820">
        <w:rPr>
          <w:rFonts w:ascii="Arial" w:hAnsi="Arial" w:cs="Arial"/>
        </w:rPr>
        <w:t xml:space="preserve">L'APC nécessite que le groupe ACP et l'UE engagent régulièrement un dialogue politique global, équilibré et profond, visant à échanger des informations, à entretenir la compréhension mutuelle et à faciliter la définition de priorités communes. Le dialogue peut être officiel ou non, et conduit à l'intérieur ou à l'extérieur du cadre institutionnel, au sujet d'un large éventail de sujets, incluant sans s'y limiter l'environnement, le genre, la migration, la paix et la sécurité, les droits de l'homme et la bonne gouvernance. Le Conseil des ministres doit conduire le dialogue politique, bien que d'autres co-acteurs (conformément au tableau), ainsi que les acteurs au niveau national, régional et continental, doivent aussi y prendre part. </w:t>
      </w:r>
    </w:p>
    <w:p w14:paraId="1387939F" w14:textId="77777777" w:rsidR="005F53A9" w:rsidRDefault="005F53A9" w:rsidP="005F53A9">
      <w:pPr>
        <w:spacing w:after="0"/>
        <w:ind w:left="-567"/>
        <w:rPr>
          <w:rFonts w:ascii="Arial" w:hAnsi="Arial" w:cs="Arial"/>
          <w:b/>
        </w:rPr>
      </w:pPr>
    </w:p>
    <w:p w14:paraId="3D804AAA" w14:textId="77777777" w:rsidR="005F53A9" w:rsidRPr="00C61820" w:rsidRDefault="005F53A9" w:rsidP="005F53A9">
      <w:pPr>
        <w:spacing w:after="0"/>
        <w:ind w:left="-567"/>
        <w:rPr>
          <w:rFonts w:ascii="Arial" w:hAnsi="Arial" w:cs="Arial"/>
          <w:b/>
        </w:rPr>
      </w:pPr>
      <w:r w:rsidRPr="00C61820">
        <w:rPr>
          <w:rFonts w:ascii="Arial" w:hAnsi="Arial" w:cs="Arial"/>
          <w:b/>
        </w:rPr>
        <w:t xml:space="preserve">Espace pour la société civile dans l'accord de partenariat de Cotonou </w:t>
      </w:r>
    </w:p>
    <w:p w14:paraId="7DBD384A" w14:textId="5A1C9402" w:rsidR="005F53A9" w:rsidRPr="00C61820" w:rsidRDefault="005F53A9" w:rsidP="005F53A9">
      <w:pPr>
        <w:spacing w:after="0"/>
        <w:ind w:left="-567"/>
        <w:rPr>
          <w:rFonts w:ascii="Arial" w:hAnsi="Arial" w:cs="Arial"/>
        </w:rPr>
      </w:pPr>
      <w:r w:rsidRPr="00C61820">
        <w:rPr>
          <w:rFonts w:ascii="Arial" w:hAnsi="Arial" w:cs="Arial"/>
        </w:rPr>
        <w:t>Bien que l'APC reconnaisse le rôle essentiel de la société civile dans le partenariat, il n'existe aucun mécanisme clair pour la participation des OSC. Selon l'article 8 de l'APC, les représentants de la société civile doivent être associés au dialogue politique chaque fois que cela est pertinent. De plus, les lignes directrices du Conseil des ministres et l'Assemblée parlementaire paritaire ACP-UE imposent des contacts et consultations réguliers avec les représentants des partenaires économiques et sociaux de l'ACP-UE et d'autres représentants de la société civile, afin de recueillir leur avis sur la réalisation des objectifs de l'ACP.  Toutefois, en pratique, la société civile joue rarement un rôle actif dans le dialogue politique.</w:t>
      </w:r>
      <w:r w:rsidRPr="00C61820">
        <w:rPr>
          <w:rFonts w:ascii="Arial" w:hAnsi="Arial" w:cs="Arial"/>
          <w:color w:val="FF0000"/>
        </w:rPr>
        <w:t xml:space="preserve"> </w:t>
      </w:r>
      <w:r w:rsidRPr="00C61820">
        <w:rPr>
          <w:rFonts w:ascii="Arial" w:hAnsi="Arial" w:cs="Arial"/>
        </w:rPr>
        <w:t xml:space="preserve">Des invitations pour assister aux réunions du Conseil des ministres sont émises à l'occasion et l'inclusion de la société civile à l'APP est plutôt limitée, surtout en tant qu'observateur. Un temps est alloué à la société civile au cours de la rencontre, mais la plupart des contacts ont lieu de façon informelle via des événements parallèles. </w:t>
      </w:r>
    </w:p>
    <w:p w14:paraId="5F257B99" w14:textId="77777777" w:rsidR="005F53A9" w:rsidRPr="00C61820" w:rsidRDefault="005F53A9" w:rsidP="005F53A9">
      <w:pPr>
        <w:spacing w:after="0"/>
        <w:ind w:left="-567"/>
        <w:rPr>
          <w:rFonts w:ascii="Arial" w:eastAsia="Calibri" w:hAnsi="Arial" w:cs="Arial"/>
        </w:rPr>
      </w:pPr>
    </w:p>
    <w:p w14:paraId="3C037B38" w14:textId="4129FD08" w:rsidR="005F53A9" w:rsidRPr="00C61820" w:rsidRDefault="005F53A9" w:rsidP="005F53A9">
      <w:pPr>
        <w:spacing w:after="0"/>
        <w:ind w:left="-567"/>
        <w:rPr>
          <w:rFonts w:ascii="Arial" w:eastAsia="Calibri" w:hAnsi="Arial" w:cs="Arial"/>
        </w:rPr>
      </w:pPr>
      <w:r w:rsidRPr="00C61820">
        <w:rPr>
          <w:rFonts w:ascii="Arial" w:hAnsi="Arial" w:cs="Arial"/>
        </w:rPr>
        <w:t>Concernant le commerce, aucune participation structurée de la société civile n'a été observée au cours des négociations des APE, bien que la fréquence et l'inclusion du dialogue dépendent de la région.</w:t>
      </w:r>
    </w:p>
    <w:p w14:paraId="6C9AD6A1" w14:textId="06F93014" w:rsidR="005F53A9" w:rsidRPr="00C61820" w:rsidRDefault="005F53A9" w:rsidP="005F53A9">
      <w:pPr>
        <w:spacing w:after="0"/>
        <w:ind w:left="-567"/>
        <w:rPr>
          <w:rFonts w:ascii="Arial" w:eastAsia="Calibri" w:hAnsi="Arial" w:cs="Arial"/>
        </w:rPr>
      </w:pPr>
    </w:p>
    <w:p w14:paraId="0B28BCAD" w14:textId="20B61DB9" w:rsidR="005F53A9" w:rsidRDefault="005F53A9" w:rsidP="005F53A9">
      <w:pPr>
        <w:spacing w:after="0"/>
        <w:ind w:left="-567"/>
        <w:rPr>
          <w:rFonts w:ascii="Arial" w:hAnsi="Arial" w:cs="Arial"/>
        </w:rPr>
      </w:pPr>
      <w:r w:rsidRPr="00C61820">
        <w:rPr>
          <w:rFonts w:ascii="Arial" w:hAnsi="Arial" w:cs="Arial"/>
          <w:noProof/>
          <w:u w:val="single"/>
        </w:rPr>
        <mc:AlternateContent>
          <mc:Choice Requires="wps">
            <w:drawing>
              <wp:anchor distT="365760" distB="365760" distL="365760" distR="365760" simplePos="0" relativeHeight="251661312" behindDoc="1" locked="0" layoutInCell="1" allowOverlap="1" wp14:anchorId="6FCB25FD" wp14:editId="142A4A1D">
                <wp:simplePos x="0" y="0"/>
                <wp:positionH relativeFrom="margin">
                  <wp:posOffset>-406400</wp:posOffset>
                </wp:positionH>
                <wp:positionV relativeFrom="margin">
                  <wp:posOffset>2921000</wp:posOffset>
                </wp:positionV>
                <wp:extent cx="2400935" cy="4269740"/>
                <wp:effectExtent l="0" t="0" r="37465" b="22860"/>
                <wp:wrapThrough wrapText="bothSides">
                  <wp:wrapPolygon edited="0">
                    <wp:start x="0" y="0"/>
                    <wp:lineTo x="0" y="21587"/>
                    <wp:lineTo x="21709" y="21587"/>
                    <wp:lineTo x="21709"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400935" cy="4269740"/>
                        </a:xfrm>
                        <a:prstGeom prst="rect">
                          <a:avLst/>
                        </a:prstGeom>
                        <a:noFill/>
                        <a:ln w="12700">
                          <a:solidFill>
                            <a:srgbClr val="4BACC6"/>
                          </a:solidFill>
                        </a:ln>
                        <a:effectLst/>
                      </wps:spPr>
                      <wps:txbx>
                        <w:txbxContent>
                          <w:p w14:paraId="21B405B2" w14:textId="77777777" w:rsidR="005F53A9" w:rsidRPr="007B4F52" w:rsidRDefault="005F53A9" w:rsidP="005F53A9">
                            <w:pPr>
                              <w:pBdr>
                                <w:top w:val="single" w:sz="4" w:space="4" w:color="4BACC6" w:themeColor="accent5"/>
                                <w:left w:val="single" w:sz="4" w:space="4" w:color="4BACC6" w:themeColor="accent5"/>
                                <w:bottom w:val="single" w:sz="4" w:space="6" w:color="4BACC6" w:themeColor="accent5"/>
                                <w:right w:val="single" w:sz="4" w:space="4" w:color="4BACC6" w:themeColor="accent5"/>
                              </w:pBdr>
                              <w:shd w:val="clear" w:color="auto" w:fill="4BACC6" w:themeFill="accent5"/>
                              <w:spacing w:line="240" w:lineRule="auto"/>
                              <w:ind w:left="101" w:right="38"/>
                              <w:rPr>
                                <w:color w:val="FFFFFF" w:themeColor="background1"/>
                              </w:rPr>
                            </w:pPr>
                            <w:r>
                              <w:rPr>
                                <w:color w:val="FFFFFF" w:themeColor="background1"/>
                              </w:rPr>
                              <w:t>Architecture institutionnelle commune de l'accord de partenariat de Cotonou</w:t>
                            </w:r>
                          </w:p>
                          <w:p w14:paraId="124B321E" w14:textId="77777777" w:rsidR="005F53A9" w:rsidRPr="0095268D" w:rsidRDefault="005F53A9" w:rsidP="005F53A9">
                            <w:pPr>
                              <w:pStyle w:val="Pardeliste"/>
                              <w:numPr>
                                <w:ilvl w:val="0"/>
                                <w:numId w:val="33"/>
                              </w:numPr>
                              <w:ind w:left="426" w:right="38"/>
                              <w:jc w:val="left"/>
                              <w:rPr>
                                <w:color w:val="31849B" w:themeColor="accent5" w:themeShade="BF"/>
                              </w:rPr>
                            </w:pPr>
                            <w:r>
                              <w:rPr>
                                <w:color w:val="31849B" w:themeColor="accent5" w:themeShade="BF"/>
                              </w:rPr>
                              <w:t>Le CONSEIL DES MINISTRES se réunit une fois par an et est composé des membres du Conseil de l'Union européenne et des membres de la Commission des Communautés européennes et d'un membre du gouvernement de chaque pays ACP.</w:t>
                            </w:r>
                          </w:p>
                          <w:p w14:paraId="69CE6211" w14:textId="77777777" w:rsidR="005F53A9" w:rsidRPr="0095268D" w:rsidRDefault="005F53A9" w:rsidP="005F53A9">
                            <w:pPr>
                              <w:pStyle w:val="Pardeliste"/>
                              <w:numPr>
                                <w:ilvl w:val="0"/>
                                <w:numId w:val="33"/>
                              </w:numPr>
                              <w:ind w:left="426" w:right="38"/>
                              <w:jc w:val="left"/>
                              <w:rPr>
                                <w:color w:val="31849B" w:themeColor="accent5" w:themeShade="BF"/>
                              </w:rPr>
                            </w:pPr>
                            <w:r>
                              <w:rPr>
                                <w:color w:val="31849B" w:themeColor="accent5" w:themeShade="BF"/>
                              </w:rPr>
                              <w:t>Le COMITÉ DES AMBASSADEURS est composé d'un représentant permanent de chaque État membre de l'UE, d'un représentant de la Commission européenne et du chef de mission de chaque pays ACP auprès de l'UE. Ce comité assiste le Conseil des ministres.</w:t>
                            </w:r>
                          </w:p>
                          <w:p w14:paraId="2D9516B8" w14:textId="77777777" w:rsidR="005F53A9" w:rsidRDefault="005F53A9" w:rsidP="005F53A9">
                            <w:pPr>
                              <w:pStyle w:val="Pardeliste"/>
                              <w:numPr>
                                <w:ilvl w:val="0"/>
                                <w:numId w:val="33"/>
                              </w:numPr>
                              <w:ind w:left="426" w:right="38"/>
                              <w:jc w:val="left"/>
                              <w:rPr>
                                <w:color w:val="31849B" w:themeColor="accent5" w:themeShade="BF"/>
                              </w:rPr>
                            </w:pPr>
                            <w:r>
                              <w:rPr>
                                <w:color w:val="31849B" w:themeColor="accent5" w:themeShade="BF"/>
                              </w:rPr>
                              <w:t xml:space="preserve">L'ASSEMBLÉE PARLEMENTAIRE PARITAIRE (APP), est composée de membres du Parlement européen et des Parlements des pays ACP. L'APP est un organe consultatif qui se réunit deux fois par an.  </w:t>
                            </w:r>
                          </w:p>
                          <w:p w14:paraId="4B9563F0" w14:textId="77777777" w:rsidR="005F53A9" w:rsidRPr="002E3BDF" w:rsidRDefault="005F53A9" w:rsidP="005F53A9">
                            <w:pPr>
                              <w:ind w:left="66" w:right="38"/>
                            </w:pPr>
                          </w:p>
                          <w:p w14:paraId="3D27D8E3" w14:textId="77777777" w:rsidR="005F53A9" w:rsidRDefault="005F53A9" w:rsidP="005F53A9">
                            <w:pPr>
                              <w:ind w:right="38"/>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25FD" id="Text_x0020_Box_x0020_3" o:spid="_x0000_s1027" type="#_x0000_t202" style="position:absolute;left:0;text-align:left;margin-left:-32pt;margin-top:230pt;width:189.05pt;height:336.2pt;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" filled="f" strokecolor="#4bacc6" strokeweight="1pt">
                <v:textbox inset="0,0,0,0">
                  <w:txbxContent>
                    <w:p w14:paraId="21B405B2" w14:textId="77777777" w:rsidR="005F53A9" w:rsidRPr="007B4F52" w:rsidRDefault="005F53A9" w:rsidP="005F53A9">
                      <w:pPr>
                        <w:pBdr>
                          <w:top w:val="single" w:sz="4" w:space="4" w:color="4BACC6" w:themeColor="accent5"/>
                          <w:left w:val="single" w:sz="4" w:space="4" w:color="4BACC6" w:themeColor="accent5"/>
                          <w:bottom w:val="single" w:sz="4" w:space="6" w:color="4BACC6" w:themeColor="accent5"/>
                          <w:right w:val="single" w:sz="4" w:space="4" w:color="4BACC6" w:themeColor="accent5"/>
                        </w:pBdr>
                        <w:shd w:val="clear" w:color="auto" w:fill="4BACC6" w:themeFill="accent5"/>
                        <w:spacing w:line="240" w:lineRule="auto"/>
                        <w:ind w:left="101" w:right="38"/>
                        <w:rPr>
                          <w:color w:val="FFFFFF" w:themeColor="background1"/>
                        </w:rPr>
                      </w:pPr>
                      <w:r>
                        <w:rPr>
                          <w:color w:val="FFFFFF" w:themeColor="background1"/>
                        </w:rPr>
                        <w:t>Architecture institutionnelle commune de l'accord de partenariat de Cotonou</w:t>
                      </w:r>
                    </w:p>
                    <w:p w14:paraId="124B321E" w14:textId="77777777" w:rsidR="005F53A9" w:rsidRPr="0095268D" w:rsidRDefault="005F53A9" w:rsidP="005F53A9">
                      <w:pPr>
                        <w:pStyle w:val="Pardeliste"/>
                        <w:numPr>
                          <w:ilvl w:val="0"/>
                          <w:numId w:val="33"/>
                        </w:numPr>
                        <w:ind w:left="426" w:right="38"/>
                        <w:jc w:val="left"/>
                        <w:rPr>
                          <w:color w:val="31849B" w:themeColor="accent5" w:themeShade="BF"/>
                        </w:rPr>
                      </w:pPr>
                      <w:r>
                        <w:rPr>
                          <w:color w:val="31849B" w:themeColor="accent5" w:themeShade="BF"/>
                        </w:rPr>
                        <w:t>Le CONSEIL DES MINISTRES se réunit une fois par an et est composé des membres du Conseil de l'Union européenne et des membres de la Commission des Communautés européennes et d'un membre du gouvernement de chaque pays ACP.</w:t>
                      </w:r>
                    </w:p>
                    <w:p w14:paraId="69CE6211" w14:textId="77777777" w:rsidR="005F53A9" w:rsidRPr="0095268D" w:rsidRDefault="005F53A9" w:rsidP="005F53A9">
                      <w:pPr>
                        <w:pStyle w:val="Pardeliste"/>
                        <w:numPr>
                          <w:ilvl w:val="0"/>
                          <w:numId w:val="33"/>
                        </w:numPr>
                        <w:ind w:left="426" w:right="38"/>
                        <w:jc w:val="left"/>
                        <w:rPr>
                          <w:color w:val="31849B" w:themeColor="accent5" w:themeShade="BF"/>
                        </w:rPr>
                      </w:pPr>
                      <w:r>
                        <w:rPr>
                          <w:color w:val="31849B" w:themeColor="accent5" w:themeShade="BF"/>
                        </w:rPr>
                        <w:t>Le COMITÉ DES AMBASSADEURS est composé d'un représentant permanent de chaque État membre de l'UE, d'un représentant de la Commission européenne et du chef de mission de chaque pays ACP auprès de l'UE. Ce comité assiste le Conseil des ministres.</w:t>
                      </w:r>
                    </w:p>
                    <w:p w14:paraId="2D9516B8" w14:textId="77777777" w:rsidR="005F53A9" w:rsidRDefault="005F53A9" w:rsidP="005F53A9">
                      <w:pPr>
                        <w:pStyle w:val="Pardeliste"/>
                        <w:numPr>
                          <w:ilvl w:val="0"/>
                          <w:numId w:val="33"/>
                        </w:numPr>
                        <w:ind w:left="426" w:right="38"/>
                        <w:jc w:val="left"/>
                        <w:rPr>
                          <w:color w:val="31849B" w:themeColor="accent5" w:themeShade="BF"/>
                        </w:rPr>
                      </w:pPr>
                      <w:r>
                        <w:rPr>
                          <w:color w:val="31849B" w:themeColor="accent5" w:themeShade="BF"/>
                        </w:rPr>
                        <w:t xml:space="preserve">L'ASSEMBLÉE PARLEMENTAIRE PARITAIRE (APP), est composée de membres du Parlement européen et des Parlements des pays ACP. L'APP est un organe consultatif qui se réunit deux fois par an.  </w:t>
                      </w:r>
                    </w:p>
                    <w:p w14:paraId="4B9563F0" w14:textId="77777777" w:rsidR="005F53A9" w:rsidRPr="002E3BDF" w:rsidRDefault="005F53A9" w:rsidP="005F53A9">
                      <w:pPr>
                        <w:ind w:left="66" w:right="38"/>
                      </w:pPr>
                    </w:p>
                    <w:p w14:paraId="3D27D8E3" w14:textId="77777777" w:rsidR="005F53A9" w:rsidRDefault="005F53A9" w:rsidP="005F53A9">
                      <w:pPr>
                        <w:ind w:right="38"/>
                      </w:pPr>
                    </w:p>
                  </w:txbxContent>
                </v:textbox>
                <w10:wrap type="through" anchorx="margin" anchory="margin"/>
              </v:shape>
            </w:pict>
          </mc:Fallback>
        </mc:AlternateContent>
      </w:r>
      <w:r w:rsidRPr="00C61820">
        <w:rPr>
          <w:rFonts w:ascii="Arial" w:hAnsi="Arial" w:cs="Arial"/>
        </w:rPr>
        <w:t xml:space="preserve">De plus, selon les principes d'appropriation et de participation, entre autres, la société civile devrait jouer un rôle clé dans la coopération au développement. L'APC énonce très clairement que la société civile devrait être entièrement impliquée dans la mise en œuvre et le suivi de l'aide et par conséquent prévoit qu'un renforcement des capacités devrait être fourni au besoin. Le processus de programmation du Fonds européen de développement, qui est la principale source de financement pour l'APC, devrait donc être participatif et transparent au cours de ses différentes étapes. Garantir un dialogue de qualité avec toutes les parties prenantes, y compris les OSC comme fondement de la programmation, est essentiel. L'UE, à savoir les Délégations de l'UE en raison de leur rôle de coordination, devrait non seulement tendre vers un échange régulier d'information mais aussi impliquer les OSC dans la programmation et les phases d'évaluation du FED. Des analyses récentes </w:t>
      </w:r>
      <w:r w:rsidRPr="00C61820">
        <w:rPr>
          <w:rStyle w:val="Appelnotedebasdep"/>
          <w:rFonts w:ascii="Arial" w:hAnsi="Arial" w:cs="Arial"/>
        </w:rPr>
        <w:footnoteReference w:id="1"/>
      </w:r>
      <w:r w:rsidRPr="00C61820">
        <w:rPr>
          <w:rFonts w:ascii="Arial" w:hAnsi="Arial" w:cs="Arial"/>
        </w:rPr>
        <w:t xml:space="preserve"> ont toutefois démontré que toutes les délégations de l'UE n'ont pas activement invité la société civile à participer aux consultations sur la programmation. Et lorsque la société civile a été impliquée, la participation était plutôt marginale et avait peu d'influence sur les choix de programmation.</w:t>
      </w:r>
    </w:p>
    <w:p w14:paraId="3569F821" w14:textId="77777777" w:rsidR="005F53A9" w:rsidRDefault="005F53A9" w:rsidP="005F53A9">
      <w:pPr>
        <w:spacing w:after="0"/>
        <w:ind w:left="-567"/>
        <w:rPr>
          <w:rFonts w:ascii="Arial" w:hAnsi="Arial" w:cs="Arial"/>
        </w:rPr>
      </w:pPr>
    </w:p>
    <w:p w14:paraId="3D60C94E" w14:textId="77777777" w:rsidR="005F53A9" w:rsidRDefault="005F53A9" w:rsidP="005F53A9">
      <w:pPr>
        <w:spacing w:after="0"/>
        <w:ind w:left="-567"/>
        <w:rPr>
          <w:rFonts w:ascii="Arial" w:hAnsi="Arial" w:cs="Arial"/>
        </w:rPr>
      </w:pPr>
    </w:p>
    <w:p w14:paraId="45177B78" w14:textId="77777777" w:rsidR="005F53A9" w:rsidRDefault="005F53A9" w:rsidP="005F53A9">
      <w:pPr>
        <w:spacing w:after="0"/>
        <w:ind w:left="-567"/>
        <w:rPr>
          <w:rFonts w:ascii="Arial" w:hAnsi="Arial" w:cs="Arial"/>
        </w:rPr>
      </w:pPr>
    </w:p>
    <w:p w14:paraId="30E88509" w14:textId="77777777" w:rsidR="005F53A9" w:rsidRDefault="005F53A9" w:rsidP="005F53A9">
      <w:pPr>
        <w:spacing w:after="0"/>
        <w:ind w:left="-567"/>
        <w:rPr>
          <w:rFonts w:ascii="Arial" w:hAnsi="Arial" w:cs="Arial"/>
        </w:rPr>
      </w:pPr>
    </w:p>
    <w:p w14:paraId="634466F6" w14:textId="77777777" w:rsidR="005F53A9" w:rsidRDefault="005F53A9" w:rsidP="005F53A9">
      <w:pPr>
        <w:spacing w:after="0"/>
        <w:ind w:left="-567"/>
        <w:rPr>
          <w:rFonts w:ascii="Arial" w:hAnsi="Arial" w:cs="Arial"/>
        </w:rPr>
      </w:pPr>
    </w:p>
    <w:p w14:paraId="522ECA27" w14:textId="77777777" w:rsidR="005F53A9" w:rsidRPr="00C61820" w:rsidRDefault="005F53A9" w:rsidP="005F53A9">
      <w:pPr>
        <w:spacing w:after="0"/>
        <w:ind w:left="-567"/>
        <w:rPr>
          <w:rFonts w:ascii="Arial" w:eastAsia="Calibri" w:hAnsi="Arial" w:cs="Arial"/>
        </w:rPr>
      </w:pPr>
      <w:bookmarkStart w:id="0" w:name="_GoBack"/>
      <w:bookmarkEnd w:id="0"/>
    </w:p>
    <w:p w14:paraId="34DAF8C3" w14:textId="77777777" w:rsidR="005F53A9" w:rsidRPr="00C61820" w:rsidRDefault="005F53A9" w:rsidP="005F53A9">
      <w:pPr>
        <w:spacing w:after="0"/>
        <w:ind w:left="-567"/>
        <w:rPr>
          <w:rFonts w:ascii="Arial" w:eastAsia="Calibri" w:hAnsi="Arial" w:cs="Arial"/>
        </w:rPr>
      </w:pPr>
    </w:p>
    <w:p w14:paraId="4F86285B" w14:textId="77777777" w:rsidR="005F53A9" w:rsidRPr="00C61820" w:rsidRDefault="005F53A9" w:rsidP="005F53A9">
      <w:pPr>
        <w:spacing w:after="0"/>
        <w:ind w:left="-567"/>
        <w:rPr>
          <w:rFonts w:ascii="Arial" w:eastAsia="Calibri" w:hAnsi="Arial" w:cs="Arial"/>
        </w:rPr>
      </w:pPr>
      <w:r w:rsidRPr="00C61820">
        <w:rPr>
          <w:rFonts w:ascii="Arial" w:hAnsi="Arial" w:cs="Arial"/>
        </w:rPr>
        <w:t xml:space="preserve">L'APC prévoit également qu'il soit fourni à la société civile des ressources financières afin de soutenir les processus de développement locaux. Environ 60% des pays bénéficiaires du 11ème FED ont choisi d'allouer une enveloppe financière spécifique à la société civile. Lorsque ces fonds existent, ils ont pour but soit de compléter et de soutenir les secteurs prioritaires du pays, soit de soutenir le renforcement des capacités de la société civile en tant qu'actrice pour le dialogue et l'obligation de rendre des comptes. </w:t>
      </w:r>
    </w:p>
    <w:p w14:paraId="654A943A" w14:textId="77777777" w:rsidR="00A42C1D" w:rsidRPr="00F03D19" w:rsidRDefault="00A42C1D" w:rsidP="005F53A9">
      <w:pPr>
        <w:ind w:left="-567"/>
        <w:rPr>
          <w:rFonts w:ascii="Arial" w:hAnsi="Arial" w:cs="Arial"/>
          <w:lang w:val="en-GB"/>
        </w:rPr>
      </w:pPr>
    </w:p>
    <w:sectPr w:rsidR="00A42C1D" w:rsidRPr="00F03D19" w:rsidSect="002056FE">
      <w:headerReference w:type="even" r:id="rId9"/>
      <w:headerReference w:type="default" r:id="rId10"/>
      <w:footerReference w:type="even" r:id="rId11"/>
      <w:footerReference w:type="default" r:id="rId12"/>
      <w:headerReference w:type="first" r:id="rId13"/>
      <w:footerReference w:type="first" r:id="rId14"/>
      <w:pgSz w:w="11906" w:h="16838"/>
      <w:pgMar w:top="993" w:right="1440" w:bottom="2093"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DB13" w14:textId="77777777" w:rsidR="00E37B0D" w:rsidRDefault="00E37B0D" w:rsidP="00A73CC1">
      <w:pPr>
        <w:spacing w:after="0" w:line="240" w:lineRule="auto"/>
      </w:pPr>
      <w:r>
        <w:separator/>
      </w:r>
    </w:p>
  </w:endnote>
  <w:endnote w:type="continuationSeparator" w:id="0">
    <w:p w14:paraId="5C03834C" w14:textId="77777777" w:rsidR="00E37B0D" w:rsidRDefault="00E37B0D" w:rsidP="00A7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36A4" w14:textId="77777777" w:rsidR="00B61F32" w:rsidRDefault="00B61F3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7ED43" w14:textId="77777777" w:rsidR="00A73CC1" w:rsidRDefault="00A73CC1" w:rsidP="00A73CC1">
    <w:pPr>
      <w:pStyle w:val="Pieddepage"/>
      <w:ind w:left="-1440"/>
    </w:pPr>
    <w:r>
      <w:rPr>
        <w:noProof/>
        <w:lang w:val="fr-FR" w:eastAsia="fr-FR"/>
      </w:rPr>
      <w:drawing>
        <wp:inline distT="0" distB="0" distL="0" distR="0" wp14:anchorId="5D84FA81" wp14:editId="518B0233">
          <wp:extent cx="7595235" cy="896783"/>
          <wp:effectExtent l="0" t="0" r="0" b="0"/>
          <wp:docPr id="11" name="Image 11" desc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726" cy="901682"/>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BD2B" w14:textId="77777777" w:rsidR="00B61F32" w:rsidRDefault="00B61F3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AAAE6" w14:textId="77777777" w:rsidR="00E37B0D" w:rsidRDefault="00E37B0D" w:rsidP="00A73CC1">
      <w:pPr>
        <w:spacing w:after="0" w:line="240" w:lineRule="auto"/>
      </w:pPr>
      <w:r>
        <w:separator/>
      </w:r>
    </w:p>
  </w:footnote>
  <w:footnote w:type="continuationSeparator" w:id="0">
    <w:p w14:paraId="066C3EFE" w14:textId="77777777" w:rsidR="00E37B0D" w:rsidRDefault="00E37B0D" w:rsidP="00A73CC1">
      <w:pPr>
        <w:spacing w:after="0" w:line="240" w:lineRule="auto"/>
      </w:pPr>
      <w:r>
        <w:continuationSeparator/>
      </w:r>
    </w:p>
  </w:footnote>
  <w:footnote w:id="1">
    <w:p w14:paraId="65376F36" w14:textId="77777777" w:rsidR="005F53A9" w:rsidRPr="00E60653" w:rsidRDefault="005F53A9" w:rsidP="005F53A9">
      <w:pPr>
        <w:pStyle w:val="Notedebasdepage"/>
      </w:pPr>
      <w:r>
        <w:rPr>
          <w:rStyle w:val="Appelnotedebasdep"/>
        </w:rPr>
        <w:footnoteRef/>
      </w:r>
      <w:r>
        <w:t xml:space="preserve"> </w:t>
      </w:r>
      <w:r>
        <w:rPr>
          <w:sz w:val="18"/>
        </w:rPr>
        <w:t xml:space="preserve">CONCORD, 2015. Engagement mutuel entre les délégations de l'UE et les organisations de la société civile. </w:t>
      </w:r>
      <w:hyperlink r:id="rId1">
        <w:r>
          <w:rPr>
            <w:rStyle w:val="Lienhypertexte"/>
            <w:sz w:val="18"/>
          </w:rPr>
          <w:t>http://www.concordeurope.org/publications/item/406-the-eu-delegations-watch-report-2015</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A835" w14:textId="77777777" w:rsidR="00B61F32" w:rsidRDefault="00B61F32">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B4E6C" w14:textId="0054BC15" w:rsidR="00A73CC1" w:rsidRDefault="00B61F32" w:rsidP="002056FE">
    <w:pPr>
      <w:pStyle w:val="En-tte"/>
      <w:tabs>
        <w:tab w:val="clear" w:pos="9072"/>
        <w:tab w:val="right" w:pos="8647"/>
      </w:tabs>
      <w:ind w:left="-1440"/>
    </w:pPr>
    <w:r>
      <w:rPr>
        <w:noProof/>
        <w:lang w:val="fr-FR" w:eastAsia="fr-FR"/>
      </w:rPr>
      <w:drawing>
        <wp:inline distT="0" distB="0" distL="0" distR="0" wp14:anchorId="1ABF85EA" wp14:editId="151C2356">
          <wp:extent cx="7850040" cy="1488440"/>
          <wp:effectExtent l="0" t="0" r="0" b="10160"/>
          <wp:docPr id="4" name="Image 4" descr="../../../../../../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3674" cy="148912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E0AC" w14:textId="77777777" w:rsidR="00B61F32" w:rsidRDefault="00B61F32">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3B41"/>
    <w:multiLevelType w:val="hybridMultilevel"/>
    <w:tmpl w:val="C05C16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EFA2D4D"/>
    <w:multiLevelType w:val="hybridMultilevel"/>
    <w:tmpl w:val="2478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A1329"/>
    <w:multiLevelType w:val="hybridMultilevel"/>
    <w:tmpl w:val="9BB4BCB2"/>
    <w:lvl w:ilvl="0" w:tplc="080C0001">
      <w:start w:val="1"/>
      <w:numFmt w:val="bullet"/>
      <w:lvlText w:val=""/>
      <w:lvlJc w:val="left"/>
      <w:pPr>
        <w:ind w:left="821" w:hanging="360"/>
      </w:pPr>
      <w:rPr>
        <w:rFonts w:ascii="Symbol" w:hAnsi="Symbol" w:hint="default"/>
      </w:rPr>
    </w:lvl>
    <w:lvl w:ilvl="1" w:tplc="080C0003" w:tentative="1">
      <w:start w:val="1"/>
      <w:numFmt w:val="bullet"/>
      <w:lvlText w:val="o"/>
      <w:lvlJc w:val="left"/>
      <w:pPr>
        <w:ind w:left="1541" w:hanging="360"/>
      </w:pPr>
      <w:rPr>
        <w:rFonts w:ascii="Courier New" w:hAnsi="Courier New" w:cs="Courier New" w:hint="default"/>
      </w:rPr>
    </w:lvl>
    <w:lvl w:ilvl="2" w:tplc="080C0005" w:tentative="1">
      <w:start w:val="1"/>
      <w:numFmt w:val="bullet"/>
      <w:lvlText w:val=""/>
      <w:lvlJc w:val="left"/>
      <w:pPr>
        <w:ind w:left="2261" w:hanging="360"/>
      </w:pPr>
      <w:rPr>
        <w:rFonts w:ascii="Wingdings" w:hAnsi="Wingdings" w:hint="default"/>
      </w:rPr>
    </w:lvl>
    <w:lvl w:ilvl="3" w:tplc="080C0001" w:tentative="1">
      <w:start w:val="1"/>
      <w:numFmt w:val="bullet"/>
      <w:lvlText w:val=""/>
      <w:lvlJc w:val="left"/>
      <w:pPr>
        <w:ind w:left="2981" w:hanging="360"/>
      </w:pPr>
      <w:rPr>
        <w:rFonts w:ascii="Symbol" w:hAnsi="Symbol" w:hint="default"/>
      </w:rPr>
    </w:lvl>
    <w:lvl w:ilvl="4" w:tplc="080C0003" w:tentative="1">
      <w:start w:val="1"/>
      <w:numFmt w:val="bullet"/>
      <w:lvlText w:val="o"/>
      <w:lvlJc w:val="left"/>
      <w:pPr>
        <w:ind w:left="3701" w:hanging="360"/>
      </w:pPr>
      <w:rPr>
        <w:rFonts w:ascii="Courier New" w:hAnsi="Courier New" w:cs="Courier New" w:hint="default"/>
      </w:rPr>
    </w:lvl>
    <w:lvl w:ilvl="5" w:tplc="080C0005" w:tentative="1">
      <w:start w:val="1"/>
      <w:numFmt w:val="bullet"/>
      <w:lvlText w:val=""/>
      <w:lvlJc w:val="left"/>
      <w:pPr>
        <w:ind w:left="4421" w:hanging="360"/>
      </w:pPr>
      <w:rPr>
        <w:rFonts w:ascii="Wingdings" w:hAnsi="Wingdings" w:hint="default"/>
      </w:rPr>
    </w:lvl>
    <w:lvl w:ilvl="6" w:tplc="080C0001" w:tentative="1">
      <w:start w:val="1"/>
      <w:numFmt w:val="bullet"/>
      <w:lvlText w:val=""/>
      <w:lvlJc w:val="left"/>
      <w:pPr>
        <w:ind w:left="5141" w:hanging="360"/>
      </w:pPr>
      <w:rPr>
        <w:rFonts w:ascii="Symbol" w:hAnsi="Symbol" w:hint="default"/>
      </w:rPr>
    </w:lvl>
    <w:lvl w:ilvl="7" w:tplc="080C0003" w:tentative="1">
      <w:start w:val="1"/>
      <w:numFmt w:val="bullet"/>
      <w:lvlText w:val="o"/>
      <w:lvlJc w:val="left"/>
      <w:pPr>
        <w:ind w:left="5861" w:hanging="360"/>
      </w:pPr>
      <w:rPr>
        <w:rFonts w:ascii="Courier New" w:hAnsi="Courier New" w:cs="Courier New" w:hint="default"/>
      </w:rPr>
    </w:lvl>
    <w:lvl w:ilvl="8" w:tplc="080C0005" w:tentative="1">
      <w:start w:val="1"/>
      <w:numFmt w:val="bullet"/>
      <w:lvlText w:val=""/>
      <w:lvlJc w:val="left"/>
      <w:pPr>
        <w:ind w:left="6581" w:hanging="360"/>
      </w:pPr>
      <w:rPr>
        <w:rFonts w:ascii="Wingdings" w:hAnsi="Wingdings" w:hint="default"/>
      </w:rPr>
    </w:lvl>
  </w:abstractNum>
  <w:abstractNum w:abstractNumId="3">
    <w:nsid w:val="1517447F"/>
    <w:multiLevelType w:val="hybridMultilevel"/>
    <w:tmpl w:val="DAF68728"/>
    <w:lvl w:ilvl="0" w:tplc="041D0019">
      <w:start w:val="1"/>
      <w:numFmt w:val="lowerLetter"/>
      <w:lvlText w:val="%1."/>
      <w:lvlJc w:val="left"/>
      <w:pPr>
        <w:ind w:left="1386" w:hanging="360"/>
      </w:p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4">
    <w:nsid w:val="15230751"/>
    <w:multiLevelType w:val="hybridMultilevel"/>
    <w:tmpl w:val="C76CF806"/>
    <w:lvl w:ilvl="0" w:tplc="A4B66E3E">
      <w:start w:val="1"/>
      <w:numFmt w:val="bullet"/>
      <w:lvlText w:val="•"/>
      <w:lvlJc w:val="left"/>
      <w:pPr>
        <w:tabs>
          <w:tab w:val="num" w:pos="720"/>
        </w:tabs>
        <w:ind w:left="720" w:hanging="360"/>
      </w:pPr>
      <w:rPr>
        <w:rFonts w:ascii="Arial" w:hAnsi="Arial" w:hint="default"/>
      </w:rPr>
    </w:lvl>
    <w:lvl w:ilvl="1" w:tplc="AC46A69C">
      <w:start w:val="2322"/>
      <w:numFmt w:val="bullet"/>
      <w:lvlText w:val="–"/>
      <w:lvlJc w:val="left"/>
      <w:pPr>
        <w:tabs>
          <w:tab w:val="num" w:pos="1440"/>
        </w:tabs>
        <w:ind w:left="1440" w:hanging="360"/>
      </w:pPr>
      <w:rPr>
        <w:rFonts w:ascii="Arial" w:hAnsi="Arial" w:hint="default"/>
      </w:rPr>
    </w:lvl>
    <w:lvl w:ilvl="2" w:tplc="634CAF16" w:tentative="1">
      <w:start w:val="1"/>
      <w:numFmt w:val="bullet"/>
      <w:lvlText w:val="•"/>
      <w:lvlJc w:val="left"/>
      <w:pPr>
        <w:tabs>
          <w:tab w:val="num" w:pos="2160"/>
        </w:tabs>
        <w:ind w:left="2160" w:hanging="360"/>
      </w:pPr>
      <w:rPr>
        <w:rFonts w:ascii="Arial" w:hAnsi="Arial" w:hint="default"/>
      </w:rPr>
    </w:lvl>
    <w:lvl w:ilvl="3" w:tplc="799E0CCC" w:tentative="1">
      <w:start w:val="1"/>
      <w:numFmt w:val="bullet"/>
      <w:lvlText w:val="•"/>
      <w:lvlJc w:val="left"/>
      <w:pPr>
        <w:tabs>
          <w:tab w:val="num" w:pos="2880"/>
        </w:tabs>
        <w:ind w:left="2880" w:hanging="360"/>
      </w:pPr>
      <w:rPr>
        <w:rFonts w:ascii="Arial" w:hAnsi="Arial" w:hint="default"/>
      </w:rPr>
    </w:lvl>
    <w:lvl w:ilvl="4" w:tplc="585AC7BC" w:tentative="1">
      <w:start w:val="1"/>
      <w:numFmt w:val="bullet"/>
      <w:lvlText w:val="•"/>
      <w:lvlJc w:val="left"/>
      <w:pPr>
        <w:tabs>
          <w:tab w:val="num" w:pos="3600"/>
        </w:tabs>
        <w:ind w:left="3600" w:hanging="360"/>
      </w:pPr>
      <w:rPr>
        <w:rFonts w:ascii="Arial" w:hAnsi="Arial" w:hint="default"/>
      </w:rPr>
    </w:lvl>
    <w:lvl w:ilvl="5" w:tplc="FD7E5ECE" w:tentative="1">
      <w:start w:val="1"/>
      <w:numFmt w:val="bullet"/>
      <w:lvlText w:val="•"/>
      <w:lvlJc w:val="left"/>
      <w:pPr>
        <w:tabs>
          <w:tab w:val="num" w:pos="4320"/>
        </w:tabs>
        <w:ind w:left="4320" w:hanging="360"/>
      </w:pPr>
      <w:rPr>
        <w:rFonts w:ascii="Arial" w:hAnsi="Arial" w:hint="default"/>
      </w:rPr>
    </w:lvl>
    <w:lvl w:ilvl="6" w:tplc="723CE8E2" w:tentative="1">
      <w:start w:val="1"/>
      <w:numFmt w:val="bullet"/>
      <w:lvlText w:val="•"/>
      <w:lvlJc w:val="left"/>
      <w:pPr>
        <w:tabs>
          <w:tab w:val="num" w:pos="5040"/>
        </w:tabs>
        <w:ind w:left="5040" w:hanging="360"/>
      </w:pPr>
      <w:rPr>
        <w:rFonts w:ascii="Arial" w:hAnsi="Arial" w:hint="default"/>
      </w:rPr>
    </w:lvl>
    <w:lvl w:ilvl="7" w:tplc="AF247C5A" w:tentative="1">
      <w:start w:val="1"/>
      <w:numFmt w:val="bullet"/>
      <w:lvlText w:val="•"/>
      <w:lvlJc w:val="left"/>
      <w:pPr>
        <w:tabs>
          <w:tab w:val="num" w:pos="5760"/>
        </w:tabs>
        <w:ind w:left="5760" w:hanging="360"/>
      </w:pPr>
      <w:rPr>
        <w:rFonts w:ascii="Arial" w:hAnsi="Arial" w:hint="default"/>
      </w:rPr>
    </w:lvl>
    <w:lvl w:ilvl="8" w:tplc="19F63BDE" w:tentative="1">
      <w:start w:val="1"/>
      <w:numFmt w:val="bullet"/>
      <w:lvlText w:val="•"/>
      <w:lvlJc w:val="left"/>
      <w:pPr>
        <w:tabs>
          <w:tab w:val="num" w:pos="6480"/>
        </w:tabs>
        <w:ind w:left="6480" w:hanging="360"/>
      </w:pPr>
      <w:rPr>
        <w:rFonts w:ascii="Arial" w:hAnsi="Arial" w:hint="default"/>
      </w:rPr>
    </w:lvl>
  </w:abstractNum>
  <w:abstractNum w:abstractNumId="5">
    <w:nsid w:val="18B4685F"/>
    <w:multiLevelType w:val="hybridMultilevel"/>
    <w:tmpl w:val="9F6EB3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EE02F2C"/>
    <w:multiLevelType w:val="hybridMultilevel"/>
    <w:tmpl w:val="E94C8E94"/>
    <w:lvl w:ilvl="0" w:tplc="347CC7A0">
      <w:start w:val="1"/>
      <w:numFmt w:val="bullet"/>
      <w:lvlText w:val="•"/>
      <w:lvlJc w:val="left"/>
      <w:pPr>
        <w:tabs>
          <w:tab w:val="num" w:pos="720"/>
        </w:tabs>
        <w:ind w:left="720" w:hanging="360"/>
      </w:pPr>
      <w:rPr>
        <w:rFonts w:ascii="Arial" w:hAnsi="Arial" w:hint="default"/>
      </w:rPr>
    </w:lvl>
    <w:lvl w:ilvl="1" w:tplc="C1C06DDA" w:tentative="1">
      <w:start w:val="1"/>
      <w:numFmt w:val="bullet"/>
      <w:lvlText w:val="•"/>
      <w:lvlJc w:val="left"/>
      <w:pPr>
        <w:tabs>
          <w:tab w:val="num" w:pos="1440"/>
        </w:tabs>
        <w:ind w:left="1440" w:hanging="360"/>
      </w:pPr>
      <w:rPr>
        <w:rFonts w:ascii="Arial" w:hAnsi="Arial" w:hint="default"/>
      </w:rPr>
    </w:lvl>
    <w:lvl w:ilvl="2" w:tplc="BEA44C10" w:tentative="1">
      <w:start w:val="1"/>
      <w:numFmt w:val="bullet"/>
      <w:lvlText w:val="•"/>
      <w:lvlJc w:val="left"/>
      <w:pPr>
        <w:tabs>
          <w:tab w:val="num" w:pos="2160"/>
        </w:tabs>
        <w:ind w:left="2160" w:hanging="360"/>
      </w:pPr>
      <w:rPr>
        <w:rFonts w:ascii="Arial" w:hAnsi="Arial" w:hint="default"/>
      </w:rPr>
    </w:lvl>
    <w:lvl w:ilvl="3" w:tplc="4F862E84" w:tentative="1">
      <w:start w:val="1"/>
      <w:numFmt w:val="bullet"/>
      <w:lvlText w:val="•"/>
      <w:lvlJc w:val="left"/>
      <w:pPr>
        <w:tabs>
          <w:tab w:val="num" w:pos="2880"/>
        </w:tabs>
        <w:ind w:left="2880" w:hanging="360"/>
      </w:pPr>
      <w:rPr>
        <w:rFonts w:ascii="Arial" w:hAnsi="Arial" w:hint="default"/>
      </w:rPr>
    </w:lvl>
    <w:lvl w:ilvl="4" w:tplc="F216D266" w:tentative="1">
      <w:start w:val="1"/>
      <w:numFmt w:val="bullet"/>
      <w:lvlText w:val="•"/>
      <w:lvlJc w:val="left"/>
      <w:pPr>
        <w:tabs>
          <w:tab w:val="num" w:pos="3600"/>
        </w:tabs>
        <w:ind w:left="3600" w:hanging="360"/>
      </w:pPr>
      <w:rPr>
        <w:rFonts w:ascii="Arial" w:hAnsi="Arial" w:hint="default"/>
      </w:rPr>
    </w:lvl>
    <w:lvl w:ilvl="5" w:tplc="0EDC7E6A" w:tentative="1">
      <w:start w:val="1"/>
      <w:numFmt w:val="bullet"/>
      <w:lvlText w:val="•"/>
      <w:lvlJc w:val="left"/>
      <w:pPr>
        <w:tabs>
          <w:tab w:val="num" w:pos="4320"/>
        </w:tabs>
        <w:ind w:left="4320" w:hanging="360"/>
      </w:pPr>
      <w:rPr>
        <w:rFonts w:ascii="Arial" w:hAnsi="Arial" w:hint="default"/>
      </w:rPr>
    </w:lvl>
    <w:lvl w:ilvl="6" w:tplc="15C6B580" w:tentative="1">
      <w:start w:val="1"/>
      <w:numFmt w:val="bullet"/>
      <w:lvlText w:val="•"/>
      <w:lvlJc w:val="left"/>
      <w:pPr>
        <w:tabs>
          <w:tab w:val="num" w:pos="5040"/>
        </w:tabs>
        <w:ind w:left="5040" w:hanging="360"/>
      </w:pPr>
      <w:rPr>
        <w:rFonts w:ascii="Arial" w:hAnsi="Arial" w:hint="default"/>
      </w:rPr>
    </w:lvl>
    <w:lvl w:ilvl="7" w:tplc="5D305B52" w:tentative="1">
      <w:start w:val="1"/>
      <w:numFmt w:val="bullet"/>
      <w:lvlText w:val="•"/>
      <w:lvlJc w:val="left"/>
      <w:pPr>
        <w:tabs>
          <w:tab w:val="num" w:pos="5760"/>
        </w:tabs>
        <w:ind w:left="5760" w:hanging="360"/>
      </w:pPr>
      <w:rPr>
        <w:rFonts w:ascii="Arial" w:hAnsi="Arial" w:hint="default"/>
      </w:rPr>
    </w:lvl>
    <w:lvl w:ilvl="8" w:tplc="B0EE2A74" w:tentative="1">
      <w:start w:val="1"/>
      <w:numFmt w:val="bullet"/>
      <w:lvlText w:val="•"/>
      <w:lvlJc w:val="left"/>
      <w:pPr>
        <w:tabs>
          <w:tab w:val="num" w:pos="6480"/>
        </w:tabs>
        <w:ind w:left="6480" w:hanging="360"/>
      </w:pPr>
      <w:rPr>
        <w:rFonts w:ascii="Arial" w:hAnsi="Arial" w:hint="default"/>
      </w:rPr>
    </w:lvl>
  </w:abstractNum>
  <w:abstractNum w:abstractNumId="7">
    <w:nsid w:val="31683258"/>
    <w:multiLevelType w:val="hybridMultilevel"/>
    <w:tmpl w:val="0F5CBCCC"/>
    <w:lvl w:ilvl="0" w:tplc="041D0019">
      <w:start w:val="1"/>
      <w:numFmt w:val="lowerLetter"/>
      <w:lvlText w:val="%1."/>
      <w:lvlJc w:val="left"/>
      <w:pPr>
        <w:ind w:left="1440"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8">
    <w:nsid w:val="44647684"/>
    <w:multiLevelType w:val="hybridMultilevel"/>
    <w:tmpl w:val="E0B2CE1C"/>
    <w:lvl w:ilvl="0" w:tplc="041D0019">
      <w:start w:val="1"/>
      <w:numFmt w:val="lowerLetter"/>
      <w:lvlText w:val="%1."/>
      <w:lvlJc w:val="left"/>
      <w:pPr>
        <w:ind w:left="1004"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9">
    <w:nsid w:val="45C2653B"/>
    <w:multiLevelType w:val="hybridMultilevel"/>
    <w:tmpl w:val="C8CAA282"/>
    <w:lvl w:ilvl="0" w:tplc="65D64B24">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F03758"/>
    <w:multiLevelType w:val="hybridMultilevel"/>
    <w:tmpl w:val="BE544684"/>
    <w:lvl w:ilvl="0" w:tplc="EC2006A2">
      <w:start w:val="1"/>
      <w:numFmt w:val="bullet"/>
      <w:lvlText w:val=""/>
      <w:lvlJc w:val="left"/>
      <w:pPr>
        <w:tabs>
          <w:tab w:val="num" w:pos="1440"/>
        </w:tabs>
        <w:ind w:left="1440" w:hanging="360"/>
      </w:pPr>
      <w:rPr>
        <w:rFonts w:ascii="Wingdings" w:hAnsi="Wingdings" w:hint="default"/>
      </w:rPr>
    </w:lvl>
    <w:lvl w:ilvl="1" w:tplc="040C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6117FD"/>
    <w:multiLevelType w:val="hybridMultilevel"/>
    <w:tmpl w:val="5E3CC0C2"/>
    <w:lvl w:ilvl="0" w:tplc="786A1B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C97361"/>
    <w:multiLevelType w:val="hybridMultilevel"/>
    <w:tmpl w:val="A22C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6D2AC9"/>
    <w:multiLevelType w:val="hybridMultilevel"/>
    <w:tmpl w:val="B20C272C"/>
    <w:lvl w:ilvl="0" w:tplc="95569EB8">
      <w:start w:val="1"/>
      <w:numFmt w:val="lowerLetter"/>
      <w:lvlText w:val="%1."/>
      <w:lvlJc w:val="left"/>
      <w:pPr>
        <w:tabs>
          <w:tab w:val="num" w:pos="720"/>
        </w:tabs>
        <w:ind w:left="720" w:hanging="360"/>
      </w:pPr>
      <w:rPr>
        <w:rFonts w:hint="default"/>
      </w:rPr>
    </w:lvl>
    <w:lvl w:ilvl="1" w:tplc="4D0C3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7E6718"/>
    <w:multiLevelType w:val="hybridMultilevel"/>
    <w:tmpl w:val="41F245BE"/>
    <w:lvl w:ilvl="0" w:tplc="837A891A">
      <w:start w:val="1"/>
      <w:numFmt w:val="lowerLetter"/>
      <w:lvlText w:val="%1."/>
      <w:lvlJc w:val="left"/>
      <w:pPr>
        <w:tabs>
          <w:tab w:val="num" w:pos="720"/>
        </w:tabs>
        <w:ind w:left="567" w:hanging="28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BEA70E7"/>
    <w:multiLevelType w:val="hybridMultilevel"/>
    <w:tmpl w:val="C5503492"/>
    <w:lvl w:ilvl="0" w:tplc="0809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5DD32447"/>
    <w:multiLevelType w:val="hybridMultilevel"/>
    <w:tmpl w:val="D4CE9574"/>
    <w:lvl w:ilvl="0" w:tplc="041D0019">
      <w:start w:val="1"/>
      <w:numFmt w:val="lowerLetter"/>
      <w:lvlText w:val="%1."/>
      <w:lvlJc w:val="left"/>
      <w:pPr>
        <w:ind w:left="1004"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7">
    <w:nsid w:val="619322A9"/>
    <w:multiLevelType w:val="hybridMultilevel"/>
    <w:tmpl w:val="EE2E0E9C"/>
    <w:lvl w:ilvl="0" w:tplc="E064E6D0">
      <w:start w:val="1"/>
      <w:numFmt w:val="bullet"/>
      <w:lvlText w:val="•"/>
      <w:lvlJc w:val="left"/>
      <w:pPr>
        <w:tabs>
          <w:tab w:val="num" w:pos="720"/>
        </w:tabs>
        <w:ind w:left="720" w:hanging="360"/>
      </w:pPr>
      <w:rPr>
        <w:rFonts w:ascii="Arial" w:hAnsi="Arial" w:hint="default"/>
      </w:rPr>
    </w:lvl>
    <w:lvl w:ilvl="1" w:tplc="7AC8EAD8" w:tentative="1">
      <w:start w:val="1"/>
      <w:numFmt w:val="bullet"/>
      <w:lvlText w:val="•"/>
      <w:lvlJc w:val="left"/>
      <w:pPr>
        <w:tabs>
          <w:tab w:val="num" w:pos="1440"/>
        </w:tabs>
        <w:ind w:left="1440" w:hanging="360"/>
      </w:pPr>
      <w:rPr>
        <w:rFonts w:ascii="Arial" w:hAnsi="Arial" w:hint="default"/>
      </w:rPr>
    </w:lvl>
    <w:lvl w:ilvl="2" w:tplc="DDC2159A" w:tentative="1">
      <w:start w:val="1"/>
      <w:numFmt w:val="bullet"/>
      <w:lvlText w:val="•"/>
      <w:lvlJc w:val="left"/>
      <w:pPr>
        <w:tabs>
          <w:tab w:val="num" w:pos="2160"/>
        </w:tabs>
        <w:ind w:left="2160" w:hanging="360"/>
      </w:pPr>
      <w:rPr>
        <w:rFonts w:ascii="Arial" w:hAnsi="Arial" w:hint="default"/>
      </w:rPr>
    </w:lvl>
    <w:lvl w:ilvl="3" w:tplc="37A66194" w:tentative="1">
      <w:start w:val="1"/>
      <w:numFmt w:val="bullet"/>
      <w:lvlText w:val="•"/>
      <w:lvlJc w:val="left"/>
      <w:pPr>
        <w:tabs>
          <w:tab w:val="num" w:pos="2880"/>
        </w:tabs>
        <w:ind w:left="2880" w:hanging="360"/>
      </w:pPr>
      <w:rPr>
        <w:rFonts w:ascii="Arial" w:hAnsi="Arial" w:hint="default"/>
      </w:rPr>
    </w:lvl>
    <w:lvl w:ilvl="4" w:tplc="D4AA0CC0" w:tentative="1">
      <w:start w:val="1"/>
      <w:numFmt w:val="bullet"/>
      <w:lvlText w:val="•"/>
      <w:lvlJc w:val="left"/>
      <w:pPr>
        <w:tabs>
          <w:tab w:val="num" w:pos="3600"/>
        </w:tabs>
        <w:ind w:left="3600" w:hanging="360"/>
      </w:pPr>
      <w:rPr>
        <w:rFonts w:ascii="Arial" w:hAnsi="Arial" w:hint="default"/>
      </w:rPr>
    </w:lvl>
    <w:lvl w:ilvl="5" w:tplc="6C1E5CF4" w:tentative="1">
      <w:start w:val="1"/>
      <w:numFmt w:val="bullet"/>
      <w:lvlText w:val="•"/>
      <w:lvlJc w:val="left"/>
      <w:pPr>
        <w:tabs>
          <w:tab w:val="num" w:pos="4320"/>
        </w:tabs>
        <w:ind w:left="4320" w:hanging="360"/>
      </w:pPr>
      <w:rPr>
        <w:rFonts w:ascii="Arial" w:hAnsi="Arial" w:hint="default"/>
      </w:rPr>
    </w:lvl>
    <w:lvl w:ilvl="6" w:tplc="68A28F88" w:tentative="1">
      <w:start w:val="1"/>
      <w:numFmt w:val="bullet"/>
      <w:lvlText w:val="•"/>
      <w:lvlJc w:val="left"/>
      <w:pPr>
        <w:tabs>
          <w:tab w:val="num" w:pos="5040"/>
        </w:tabs>
        <w:ind w:left="5040" w:hanging="360"/>
      </w:pPr>
      <w:rPr>
        <w:rFonts w:ascii="Arial" w:hAnsi="Arial" w:hint="default"/>
      </w:rPr>
    </w:lvl>
    <w:lvl w:ilvl="7" w:tplc="FF10C646" w:tentative="1">
      <w:start w:val="1"/>
      <w:numFmt w:val="bullet"/>
      <w:lvlText w:val="•"/>
      <w:lvlJc w:val="left"/>
      <w:pPr>
        <w:tabs>
          <w:tab w:val="num" w:pos="5760"/>
        </w:tabs>
        <w:ind w:left="5760" w:hanging="360"/>
      </w:pPr>
      <w:rPr>
        <w:rFonts w:ascii="Arial" w:hAnsi="Arial" w:hint="default"/>
      </w:rPr>
    </w:lvl>
    <w:lvl w:ilvl="8" w:tplc="2376E664" w:tentative="1">
      <w:start w:val="1"/>
      <w:numFmt w:val="bullet"/>
      <w:lvlText w:val="•"/>
      <w:lvlJc w:val="left"/>
      <w:pPr>
        <w:tabs>
          <w:tab w:val="num" w:pos="6480"/>
        </w:tabs>
        <w:ind w:left="6480" w:hanging="360"/>
      </w:pPr>
      <w:rPr>
        <w:rFonts w:ascii="Arial" w:hAnsi="Arial" w:hint="default"/>
      </w:rPr>
    </w:lvl>
  </w:abstractNum>
  <w:abstractNum w:abstractNumId="18">
    <w:nsid w:val="619427F2"/>
    <w:multiLevelType w:val="hybridMultilevel"/>
    <w:tmpl w:val="73A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482DE8"/>
    <w:multiLevelType w:val="hybridMultilevel"/>
    <w:tmpl w:val="A22C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575F0"/>
    <w:multiLevelType w:val="hybridMultilevel"/>
    <w:tmpl w:val="254E9700"/>
    <w:lvl w:ilvl="0" w:tplc="A5BE1194">
      <w:start w:val="1"/>
      <w:numFmt w:val="decimal"/>
      <w:lvlText w:val="%1."/>
      <w:lvlJc w:val="left"/>
      <w:pPr>
        <w:tabs>
          <w:tab w:val="num" w:pos="720"/>
        </w:tabs>
        <w:ind w:left="720" w:hanging="360"/>
      </w:pPr>
      <w:rPr>
        <w:rFonts w:hint="default"/>
      </w:rPr>
    </w:lvl>
    <w:lvl w:ilvl="1" w:tplc="881AB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813AF4"/>
    <w:multiLevelType w:val="hybridMultilevel"/>
    <w:tmpl w:val="B20037B2"/>
    <w:lvl w:ilvl="0" w:tplc="F7645AE4">
      <w:start w:val="1"/>
      <w:numFmt w:val="bullet"/>
      <w:lvlText w:val="•"/>
      <w:lvlJc w:val="left"/>
      <w:pPr>
        <w:tabs>
          <w:tab w:val="num" w:pos="720"/>
        </w:tabs>
        <w:ind w:left="720" w:hanging="360"/>
      </w:pPr>
      <w:rPr>
        <w:rFonts w:ascii="Arial" w:hAnsi="Arial" w:hint="default"/>
      </w:rPr>
    </w:lvl>
    <w:lvl w:ilvl="1" w:tplc="4D4CAFD6" w:tentative="1">
      <w:start w:val="1"/>
      <w:numFmt w:val="bullet"/>
      <w:lvlText w:val="•"/>
      <w:lvlJc w:val="left"/>
      <w:pPr>
        <w:tabs>
          <w:tab w:val="num" w:pos="1440"/>
        </w:tabs>
        <w:ind w:left="1440" w:hanging="360"/>
      </w:pPr>
      <w:rPr>
        <w:rFonts w:ascii="Arial" w:hAnsi="Arial" w:hint="default"/>
      </w:rPr>
    </w:lvl>
    <w:lvl w:ilvl="2" w:tplc="517EAFB2" w:tentative="1">
      <w:start w:val="1"/>
      <w:numFmt w:val="bullet"/>
      <w:lvlText w:val="•"/>
      <w:lvlJc w:val="left"/>
      <w:pPr>
        <w:tabs>
          <w:tab w:val="num" w:pos="2160"/>
        </w:tabs>
        <w:ind w:left="2160" w:hanging="360"/>
      </w:pPr>
      <w:rPr>
        <w:rFonts w:ascii="Arial" w:hAnsi="Arial" w:hint="default"/>
      </w:rPr>
    </w:lvl>
    <w:lvl w:ilvl="3" w:tplc="D27C72DE" w:tentative="1">
      <w:start w:val="1"/>
      <w:numFmt w:val="bullet"/>
      <w:lvlText w:val="•"/>
      <w:lvlJc w:val="left"/>
      <w:pPr>
        <w:tabs>
          <w:tab w:val="num" w:pos="2880"/>
        </w:tabs>
        <w:ind w:left="2880" w:hanging="360"/>
      </w:pPr>
      <w:rPr>
        <w:rFonts w:ascii="Arial" w:hAnsi="Arial" w:hint="default"/>
      </w:rPr>
    </w:lvl>
    <w:lvl w:ilvl="4" w:tplc="4F8C20FE" w:tentative="1">
      <w:start w:val="1"/>
      <w:numFmt w:val="bullet"/>
      <w:lvlText w:val="•"/>
      <w:lvlJc w:val="left"/>
      <w:pPr>
        <w:tabs>
          <w:tab w:val="num" w:pos="3600"/>
        </w:tabs>
        <w:ind w:left="3600" w:hanging="360"/>
      </w:pPr>
      <w:rPr>
        <w:rFonts w:ascii="Arial" w:hAnsi="Arial" w:hint="default"/>
      </w:rPr>
    </w:lvl>
    <w:lvl w:ilvl="5" w:tplc="1702FDEC" w:tentative="1">
      <w:start w:val="1"/>
      <w:numFmt w:val="bullet"/>
      <w:lvlText w:val="•"/>
      <w:lvlJc w:val="left"/>
      <w:pPr>
        <w:tabs>
          <w:tab w:val="num" w:pos="4320"/>
        </w:tabs>
        <w:ind w:left="4320" w:hanging="360"/>
      </w:pPr>
      <w:rPr>
        <w:rFonts w:ascii="Arial" w:hAnsi="Arial" w:hint="default"/>
      </w:rPr>
    </w:lvl>
    <w:lvl w:ilvl="6" w:tplc="CEEA9062" w:tentative="1">
      <w:start w:val="1"/>
      <w:numFmt w:val="bullet"/>
      <w:lvlText w:val="•"/>
      <w:lvlJc w:val="left"/>
      <w:pPr>
        <w:tabs>
          <w:tab w:val="num" w:pos="5040"/>
        </w:tabs>
        <w:ind w:left="5040" w:hanging="360"/>
      </w:pPr>
      <w:rPr>
        <w:rFonts w:ascii="Arial" w:hAnsi="Arial" w:hint="default"/>
      </w:rPr>
    </w:lvl>
    <w:lvl w:ilvl="7" w:tplc="7F985166" w:tentative="1">
      <w:start w:val="1"/>
      <w:numFmt w:val="bullet"/>
      <w:lvlText w:val="•"/>
      <w:lvlJc w:val="left"/>
      <w:pPr>
        <w:tabs>
          <w:tab w:val="num" w:pos="5760"/>
        </w:tabs>
        <w:ind w:left="5760" w:hanging="360"/>
      </w:pPr>
      <w:rPr>
        <w:rFonts w:ascii="Arial" w:hAnsi="Arial" w:hint="default"/>
      </w:rPr>
    </w:lvl>
    <w:lvl w:ilvl="8" w:tplc="0C627646" w:tentative="1">
      <w:start w:val="1"/>
      <w:numFmt w:val="bullet"/>
      <w:lvlText w:val="•"/>
      <w:lvlJc w:val="left"/>
      <w:pPr>
        <w:tabs>
          <w:tab w:val="num" w:pos="6480"/>
        </w:tabs>
        <w:ind w:left="6480" w:hanging="360"/>
      </w:pPr>
      <w:rPr>
        <w:rFonts w:ascii="Arial" w:hAnsi="Arial" w:hint="default"/>
      </w:rPr>
    </w:lvl>
  </w:abstractNum>
  <w:abstractNum w:abstractNumId="22">
    <w:nsid w:val="69BE6736"/>
    <w:multiLevelType w:val="hybridMultilevel"/>
    <w:tmpl w:val="943668A0"/>
    <w:lvl w:ilvl="0" w:tplc="2708C11E">
      <w:start w:val="1"/>
      <w:numFmt w:val="bullet"/>
      <w:lvlText w:val="•"/>
      <w:lvlJc w:val="left"/>
      <w:pPr>
        <w:tabs>
          <w:tab w:val="num" w:pos="720"/>
        </w:tabs>
        <w:ind w:left="720" w:hanging="360"/>
      </w:pPr>
      <w:rPr>
        <w:rFonts w:ascii="Arial" w:hAnsi="Arial" w:hint="default"/>
      </w:rPr>
    </w:lvl>
    <w:lvl w:ilvl="1" w:tplc="0E3C5268">
      <w:start w:val="2322"/>
      <w:numFmt w:val="bullet"/>
      <w:lvlText w:val="–"/>
      <w:lvlJc w:val="left"/>
      <w:pPr>
        <w:tabs>
          <w:tab w:val="num" w:pos="1440"/>
        </w:tabs>
        <w:ind w:left="1440" w:hanging="360"/>
      </w:pPr>
      <w:rPr>
        <w:rFonts w:ascii="Arial" w:hAnsi="Arial" w:hint="default"/>
      </w:rPr>
    </w:lvl>
    <w:lvl w:ilvl="2" w:tplc="B276D104" w:tentative="1">
      <w:start w:val="1"/>
      <w:numFmt w:val="bullet"/>
      <w:lvlText w:val="•"/>
      <w:lvlJc w:val="left"/>
      <w:pPr>
        <w:tabs>
          <w:tab w:val="num" w:pos="2160"/>
        </w:tabs>
        <w:ind w:left="2160" w:hanging="360"/>
      </w:pPr>
      <w:rPr>
        <w:rFonts w:ascii="Arial" w:hAnsi="Arial" w:hint="default"/>
      </w:rPr>
    </w:lvl>
    <w:lvl w:ilvl="3" w:tplc="3452923E" w:tentative="1">
      <w:start w:val="1"/>
      <w:numFmt w:val="bullet"/>
      <w:lvlText w:val="•"/>
      <w:lvlJc w:val="left"/>
      <w:pPr>
        <w:tabs>
          <w:tab w:val="num" w:pos="2880"/>
        </w:tabs>
        <w:ind w:left="2880" w:hanging="360"/>
      </w:pPr>
      <w:rPr>
        <w:rFonts w:ascii="Arial" w:hAnsi="Arial" w:hint="default"/>
      </w:rPr>
    </w:lvl>
    <w:lvl w:ilvl="4" w:tplc="D27EE1AC" w:tentative="1">
      <w:start w:val="1"/>
      <w:numFmt w:val="bullet"/>
      <w:lvlText w:val="•"/>
      <w:lvlJc w:val="left"/>
      <w:pPr>
        <w:tabs>
          <w:tab w:val="num" w:pos="3600"/>
        </w:tabs>
        <w:ind w:left="3600" w:hanging="360"/>
      </w:pPr>
      <w:rPr>
        <w:rFonts w:ascii="Arial" w:hAnsi="Arial" w:hint="default"/>
      </w:rPr>
    </w:lvl>
    <w:lvl w:ilvl="5" w:tplc="011625E6" w:tentative="1">
      <w:start w:val="1"/>
      <w:numFmt w:val="bullet"/>
      <w:lvlText w:val="•"/>
      <w:lvlJc w:val="left"/>
      <w:pPr>
        <w:tabs>
          <w:tab w:val="num" w:pos="4320"/>
        </w:tabs>
        <w:ind w:left="4320" w:hanging="360"/>
      </w:pPr>
      <w:rPr>
        <w:rFonts w:ascii="Arial" w:hAnsi="Arial" w:hint="default"/>
      </w:rPr>
    </w:lvl>
    <w:lvl w:ilvl="6" w:tplc="71F64A26" w:tentative="1">
      <w:start w:val="1"/>
      <w:numFmt w:val="bullet"/>
      <w:lvlText w:val="•"/>
      <w:lvlJc w:val="left"/>
      <w:pPr>
        <w:tabs>
          <w:tab w:val="num" w:pos="5040"/>
        </w:tabs>
        <w:ind w:left="5040" w:hanging="360"/>
      </w:pPr>
      <w:rPr>
        <w:rFonts w:ascii="Arial" w:hAnsi="Arial" w:hint="default"/>
      </w:rPr>
    </w:lvl>
    <w:lvl w:ilvl="7" w:tplc="F4A4BCA0" w:tentative="1">
      <w:start w:val="1"/>
      <w:numFmt w:val="bullet"/>
      <w:lvlText w:val="•"/>
      <w:lvlJc w:val="left"/>
      <w:pPr>
        <w:tabs>
          <w:tab w:val="num" w:pos="5760"/>
        </w:tabs>
        <w:ind w:left="5760" w:hanging="360"/>
      </w:pPr>
      <w:rPr>
        <w:rFonts w:ascii="Arial" w:hAnsi="Arial" w:hint="default"/>
      </w:rPr>
    </w:lvl>
    <w:lvl w:ilvl="8" w:tplc="CA48BC5C" w:tentative="1">
      <w:start w:val="1"/>
      <w:numFmt w:val="bullet"/>
      <w:lvlText w:val="•"/>
      <w:lvlJc w:val="left"/>
      <w:pPr>
        <w:tabs>
          <w:tab w:val="num" w:pos="6480"/>
        </w:tabs>
        <w:ind w:left="6480" w:hanging="360"/>
      </w:pPr>
      <w:rPr>
        <w:rFonts w:ascii="Arial" w:hAnsi="Arial" w:hint="default"/>
      </w:rPr>
    </w:lvl>
  </w:abstractNum>
  <w:abstractNum w:abstractNumId="23">
    <w:nsid w:val="6B5E3C0D"/>
    <w:multiLevelType w:val="hybridMultilevel"/>
    <w:tmpl w:val="CB94A9C8"/>
    <w:lvl w:ilvl="0" w:tplc="0813000F">
      <w:start w:val="1"/>
      <w:numFmt w:val="decimal"/>
      <w:lvlText w:val="%1."/>
      <w:lvlJc w:val="left"/>
      <w:pPr>
        <w:ind w:left="360" w:hanging="360"/>
      </w:pPr>
    </w:lvl>
    <w:lvl w:ilvl="1" w:tplc="176840B0">
      <w:start w:val="1"/>
      <w:numFmt w:val="lowerLetter"/>
      <w:lvlText w:val="%2."/>
      <w:lvlJc w:val="left"/>
      <w:pPr>
        <w:ind w:left="644"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D0E6E3A"/>
    <w:multiLevelType w:val="hybridMultilevel"/>
    <w:tmpl w:val="F1B4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0B1941"/>
    <w:multiLevelType w:val="hybridMultilevel"/>
    <w:tmpl w:val="F3103BDC"/>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737E9A"/>
    <w:multiLevelType w:val="hybridMultilevel"/>
    <w:tmpl w:val="2E2EEAC8"/>
    <w:lvl w:ilvl="0" w:tplc="65D64B24">
      <w:start w:val="3"/>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127129"/>
    <w:multiLevelType w:val="hybridMultilevel"/>
    <w:tmpl w:val="05DAB8A2"/>
    <w:lvl w:ilvl="0" w:tplc="D7D8258C">
      <w:start w:val="1"/>
      <w:numFmt w:val="decimal"/>
      <w:lvlText w:val="%1."/>
      <w:lvlJc w:val="left"/>
      <w:pPr>
        <w:ind w:left="36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73D2782"/>
    <w:multiLevelType w:val="hybridMultilevel"/>
    <w:tmpl w:val="C86ECF08"/>
    <w:lvl w:ilvl="0" w:tplc="041D0017">
      <w:start w:val="1"/>
      <w:numFmt w:val="lowerLetter"/>
      <w:lvlText w:val="%1)"/>
      <w:lvlJc w:val="left"/>
      <w:pPr>
        <w:ind w:left="720"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75D7382"/>
    <w:multiLevelType w:val="hybridMultilevel"/>
    <w:tmpl w:val="B20C272C"/>
    <w:lvl w:ilvl="0" w:tplc="95569EB8">
      <w:start w:val="1"/>
      <w:numFmt w:val="lowerLetter"/>
      <w:lvlText w:val="%1."/>
      <w:lvlJc w:val="left"/>
      <w:pPr>
        <w:tabs>
          <w:tab w:val="num" w:pos="720"/>
        </w:tabs>
        <w:ind w:left="720" w:hanging="360"/>
      </w:pPr>
      <w:rPr>
        <w:rFonts w:hint="default"/>
      </w:rPr>
    </w:lvl>
    <w:lvl w:ilvl="1" w:tplc="4D0C3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9E05F3"/>
    <w:multiLevelType w:val="hybridMultilevel"/>
    <w:tmpl w:val="D6783888"/>
    <w:lvl w:ilvl="0" w:tplc="25023380">
      <w:start w:val="1"/>
      <w:numFmt w:val="bullet"/>
      <w:lvlText w:val="–"/>
      <w:lvlJc w:val="left"/>
      <w:pPr>
        <w:tabs>
          <w:tab w:val="num" w:pos="720"/>
        </w:tabs>
        <w:ind w:left="720" w:hanging="360"/>
      </w:pPr>
      <w:rPr>
        <w:rFonts w:ascii="Arial" w:hAnsi="Arial" w:hint="default"/>
      </w:rPr>
    </w:lvl>
    <w:lvl w:ilvl="1" w:tplc="16EA63EC">
      <w:start w:val="1"/>
      <w:numFmt w:val="bullet"/>
      <w:lvlText w:val="–"/>
      <w:lvlJc w:val="left"/>
      <w:pPr>
        <w:tabs>
          <w:tab w:val="num" w:pos="1440"/>
        </w:tabs>
        <w:ind w:left="1440" w:hanging="360"/>
      </w:pPr>
      <w:rPr>
        <w:rFonts w:ascii="Arial" w:hAnsi="Arial" w:hint="default"/>
      </w:rPr>
    </w:lvl>
    <w:lvl w:ilvl="2" w:tplc="C47EB49C" w:tentative="1">
      <w:start w:val="1"/>
      <w:numFmt w:val="bullet"/>
      <w:lvlText w:val="–"/>
      <w:lvlJc w:val="left"/>
      <w:pPr>
        <w:tabs>
          <w:tab w:val="num" w:pos="2160"/>
        </w:tabs>
        <w:ind w:left="2160" w:hanging="360"/>
      </w:pPr>
      <w:rPr>
        <w:rFonts w:ascii="Arial" w:hAnsi="Arial" w:hint="default"/>
      </w:rPr>
    </w:lvl>
    <w:lvl w:ilvl="3" w:tplc="40B0FA3C" w:tentative="1">
      <w:start w:val="1"/>
      <w:numFmt w:val="bullet"/>
      <w:lvlText w:val="–"/>
      <w:lvlJc w:val="left"/>
      <w:pPr>
        <w:tabs>
          <w:tab w:val="num" w:pos="2880"/>
        </w:tabs>
        <w:ind w:left="2880" w:hanging="360"/>
      </w:pPr>
      <w:rPr>
        <w:rFonts w:ascii="Arial" w:hAnsi="Arial" w:hint="default"/>
      </w:rPr>
    </w:lvl>
    <w:lvl w:ilvl="4" w:tplc="5B8C8E94" w:tentative="1">
      <w:start w:val="1"/>
      <w:numFmt w:val="bullet"/>
      <w:lvlText w:val="–"/>
      <w:lvlJc w:val="left"/>
      <w:pPr>
        <w:tabs>
          <w:tab w:val="num" w:pos="3600"/>
        </w:tabs>
        <w:ind w:left="3600" w:hanging="360"/>
      </w:pPr>
      <w:rPr>
        <w:rFonts w:ascii="Arial" w:hAnsi="Arial" w:hint="default"/>
      </w:rPr>
    </w:lvl>
    <w:lvl w:ilvl="5" w:tplc="3402BC4A" w:tentative="1">
      <w:start w:val="1"/>
      <w:numFmt w:val="bullet"/>
      <w:lvlText w:val="–"/>
      <w:lvlJc w:val="left"/>
      <w:pPr>
        <w:tabs>
          <w:tab w:val="num" w:pos="4320"/>
        </w:tabs>
        <w:ind w:left="4320" w:hanging="360"/>
      </w:pPr>
      <w:rPr>
        <w:rFonts w:ascii="Arial" w:hAnsi="Arial" w:hint="default"/>
      </w:rPr>
    </w:lvl>
    <w:lvl w:ilvl="6" w:tplc="E27C5BCC" w:tentative="1">
      <w:start w:val="1"/>
      <w:numFmt w:val="bullet"/>
      <w:lvlText w:val="–"/>
      <w:lvlJc w:val="left"/>
      <w:pPr>
        <w:tabs>
          <w:tab w:val="num" w:pos="5040"/>
        </w:tabs>
        <w:ind w:left="5040" w:hanging="360"/>
      </w:pPr>
      <w:rPr>
        <w:rFonts w:ascii="Arial" w:hAnsi="Arial" w:hint="default"/>
      </w:rPr>
    </w:lvl>
    <w:lvl w:ilvl="7" w:tplc="0972CD48" w:tentative="1">
      <w:start w:val="1"/>
      <w:numFmt w:val="bullet"/>
      <w:lvlText w:val="–"/>
      <w:lvlJc w:val="left"/>
      <w:pPr>
        <w:tabs>
          <w:tab w:val="num" w:pos="5760"/>
        </w:tabs>
        <w:ind w:left="5760" w:hanging="360"/>
      </w:pPr>
      <w:rPr>
        <w:rFonts w:ascii="Arial" w:hAnsi="Arial" w:hint="default"/>
      </w:rPr>
    </w:lvl>
    <w:lvl w:ilvl="8" w:tplc="F3B0387E" w:tentative="1">
      <w:start w:val="1"/>
      <w:numFmt w:val="bullet"/>
      <w:lvlText w:val="–"/>
      <w:lvlJc w:val="left"/>
      <w:pPr>
        <w:tabs>
          <w:tab w:val="num" w:pos="6480"/>
        </w:tabs>
        <w:ind w:left="6480" w:hanging="360"/>
      </w:pPr>
      <w:rPr>
        <w:rFonts w:ascii="Arial" w:hAnsi="Arial" w:hint="default"/>
      </w:rPr>
    </w:lvl>
  </w:abstractNum>
  <w:abstractNum w:abstractNumId="31">
    <w:nsid w:val="7D1E2E5C"/>
    <w:multiLevelType w:val="hybridMultilevel"/>
    <w:tmpl w:val="6778CBF0"/>
    <w:lvl w:ilvl="0" w:tplc="EC2006A2">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724B81"/>
    <w:multiLevelType w:val="hybridMultilevel"/>
    <w:tmpl w:val="CCE60BFA"/>
    <w:lvl w:ilvl="0" w:tplc="F09E5DC6">
      <w:start w:val="1"/>
      <w:numFmt w:val="bullet"/>
      <w:lvlText w:val="–"/>
      <w:lvlJc w:val="left"/>
      <w:pPr>
        <w:tabs>
          <w:tab w:val="num" w:pos="720"/>
        </w:tabs>
        <w:ind w:left="720" w:hanging="360"/>
      </w:pPr>
      <w:rPr>
        <w:rFonts w:ascii="Arial" w:hAnsi="Arial" w:hint="default"/>
      </w:rPr>
    </w:lvl>
    <w:lvl w:ilvl="1" w:tplc="0C162C1E">
      <w:start w:val="1"/>
      <w:numFmt w:val="bullet"/>
      <w:lvlText w:val="–"/>
      <w:lvlJc w:val="left"/>
      <w:pPr>
        <w:tabs>
          <w:tab w:val="num" w:pos="1440"/>
        </w:tabs>
        <w:ind w:left="1440" w:hanging="360"/>
      </w:pPr>
      <w:rPr>
        <w:rFonts w:ascii="Arial" w:hAnsi="Arial" w:hint="default"/>
      </w:rPr>
    </w:lvl>
    <w:lvl w:ilvl="2" w:tplc="DC8EDC34" w:tentative="1">
      <w:start w:val="1"/>
      <w:numFmt w:val="bullet"/>
      <w:lvlText w:val="–"/>
      <w:lvlJc w:val="left"/>
      <w:pPr>
        <w:tabs>
          <w:tab w:val="num" w:pos="2160"/>
        </w:tabs>
        <w:ind w:left="2160" w:hanging="360"/>
      </w:pPr>
      <w:rPr>
        <w:rFonts w:ascii="Arial" w:hAnsi="Arial" w:hint="default"/>
      </w:rPr>
    </w:lvl>
    <w:lvl w:ilvl="3" w:tplc="425C53E6" w:tentative="1">
      <w:start w:val="1"/>
      <w:numFmt w:val="bullet"/>
      <w:lvlText w:val="–"/>
      <w:lvlJc w:val="left"/>
      <w:pPr>
        <w:tabs>
          <w:tab w:val="num" w:pos="2880"/>
        </w:tabs>
        <w:ind w:left="2880" w:hanging="360"/>
      </w:pPr>
      <w:rPr>
        <w:rFonts w:ascii="Arial" w:hAnsi="Arial" w:hint="default"/>
      </w:rPr>
    </w:lvl>
    <w:lvl w:ilvl="4" w:tplc="181C490E" w:tentative="1">
      <w:start w:val="1"/>
      <w:numFmt w:val="bullet"/>
      <w:lvlText w:val="–"/>
      <w:lvlJc w:val="left"/>
      <w:pPr>
        <w:tabs>
          <w:tab w:val="num" w:pos="3600"/>
        </w:tabs>
        <w:ind w:left="3600" w:hanging="360"/>
      </w:pPr>
      <w:rPr>
        <w:rFonts w:ascii="Arial" w:hAnsi="Arial" w:hint="default"/>
      </w:rPr>
    </w:lvl>
    <w:lvl w:ilvl="5" w:tplc="139E167A" w:tentative="1">
      <w:start w:val="1"/>
      <w:numFmt w:val="bullet"/>
      <w:lvlText w:val="–"/>
      <w:lvlJc w:val="left"/>
      <w:pPr>
        <w:tabs>
          <w:tab w:val="num" w:pos="4320"/>
        </w:tabs>
        <w:ind w:left="4320" w:hanging="360"/>
      </w:pPr>
      <w:rPr>
        <w:rFonts w:ascii="Arial" w:hAnsi="Arial" w:hint="default"/>
      </w:rPr>
    </w:lvl>
    <w:lvl w:ilvl="6" w:tplc="B006777E" w:tentative="1">
      <w:start w:val="1"/>
      <w:numFmt w:val="bullet"/>
      <w:lvlText w:val="–"/>
      <w:lvlJc w:val="left"/>
      <w:pPr>
        <w:tabs>
          <w:tab w:val="num" w:pos="5040"/>
        </w:tabs>
        <w:ind w:left="5040" w:hanging="360"/>
      </w:pPr>
      <w:rPr>
        <w:rFonts w:ascii="Arial" w:hAnsi="Arial" w:hint="default"/>
      </w:rPr>
    </w:lvl>
    <w:lvl w:ilvl="7" w:tplc="9626C700" w:tentative="1">
      <w:start w:val="1"/>
      <w:numFmt w:val="bullet"/>
      <w:lvlText w:val="–"/>
      <w:lvlJc w:val="left"/>
      <w:pPr>
        <w:tabs>
          <w:tab w:val="num" w:pos="5760"/>
        </w:tabs>
        <w:ind w:left="5760" w:hanging="360"/>
      </w:pPr>
      <w:rPr>
        <w:rFonts w:ascii="Arial" w:hAnsi="Arial" w:hint="default"/>
      </w:rPr>
    </w:lvl>
    <w:lvl w:ilvl="8" w:tplc="F4C82670" w:tentative="1">
      <w:start w:val="1"/>
      <w:numFmt w:val="bullet"/>
      <w:lvlText w:val="–"/>
      <w:lvlJc w:val="left"/>
      <w:pPr>
        <w:tabs>
          <w:tab w:val="num" w:pos="6480"/>
        </w:tabs>
        <w:ind w:left="6480" w:hanging="360"/>
      </w:pPr>
      <w:rPr>
        <w:rFonts w:ascii="Arial" w:hAnsi="Arial" w:hint="default"/>
      </w:rPr>
    </w:lvl>
  </w:abstractNum>
  <w:abstractNum w:abstractNumId="33">
    <w:nsid w:val="7DB26E06"/>
    <w:multiLevelType w:val="hybridMultilevel"/>
    <w:tmpl w:val="53CE7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F5E15A2"/>
    <w:multiLevelType w:val="hybridMultilevel"/>
    <w:tmpl w:val="8AFAFD4A"/>
    <w:lvl w:ilvl="0" w:tplc="A9B62C30">
      <w:start w:val="1"/>
      <w:numFmt w:val="decimal"/>
      <w:lvlText w:val="%1."/>
      <w:lvlJc w:val="left"/>
      <w:pPr>
        <w:ind w:left="465" w:hanging="360"/>
      </w:pPr>
      <w:rPr>
        <w:rFonts w:hint="default"/>
        <w:b/>
      </w:rPr>
    </w:lvl>
    <w:lvl w:ilvl="1" w:tplc="080C0019" w:tentative="1">
      <w:start w:val="1"/>
      <w:numFmt w:val="lowerLetter"/>
      <w:lvlText w:val="%2."/>
      <w:lvlJc w:val="left"/>
      <w:pPr>
        <w:ind w:left="1185" w:hanging="360"/>
      </w:pPr>
    </w:lvl>
    <w:lvl w:ilvl="2" w:tplc="080C001B" w:tentative="1">
      <w:start w:val="1"/>
      <w:numFmt w:val="lowerRoman"/>
      <w:lvlText w:val="%3."/>
      <w:lvlJc w:val="right"/>
      <w:pPr>
        <w:ind w:left="1905" w:hanging="180"/>
      </w:pPr>
    </w:lvl>
    <w:lvl w:ilvl="3" w:tplc="080C000F" w:tentative="1">
      <w:start w:val="1"/>
      <w:numFmt w:val="decimal"/>
      <w:lvlText w:val="%4."/>
      <w:lvlJc w:val="left"/>
      <w:pPr>
        <w:ind w:left="2625" w:hanging="360"/>
      </w:pPr>
    </w:lvl>
    <w:lvl w:ilvl="4" w:tplc="080C0019" w:tentative="1">
      <w:start w:val="1"/>
      <w:numFmt w:val="lowerLetter"/>
      <w:lvlText w:val="%5."/>
      <w:lvlJc w:val="left"/>
      <w:pPr>
        <w:ind w:left="3345" w:hanging="360"/>
      </w:pPr>
    </w:lvl>
    <w:lvl w:ilvl="5" w:tplc="080C001B" w:tentative="1">
      <w:start w:val="1"/>
      <w:numFmt w:val="lowerRoman"/>
      <w:lvlText w:val="%6."/>
      <w:lvlJc w:val="right"/>
      <w:pPr>
        <w:ind w:left="4065" w:hanging="180"/>
      </w:pPr>
    </w:lvl>
    <w:lvl w:ilvl="6" w:tplc="080C000F" w:tentative="1">
      <w:start w:val="1"/>
      <w:numFmt w:val="decimal"/>
      <w:lvlText w:val="%7."/>
      <w:lvlJc w:val="left"/>
      <w:pPr>
        <w:ind w:left="4785" w:hanging="360"/>
      </w:pPr>
    </w:lvl>
    <w:lvl w:ilvl="7" w:tplc="080C0019" w:tentative="1">
      <w:start w:val="1"/>
      <w:numFmt w:val="lowerLetter"/>
      <w:lvlText w:val="%8."/>
      <w:lvlJc w:val="left"/>
      <w:pPr>
        <w:ind w:left="5505" w:hanging="360"/>
      </w:pPr>
    </w:lvl>
    <w:lvl w:ilvl="8" w:tplc="080C001B" w:tentative="1">
      <w:start w:val="1"/>
      <w:numFmt w:val="lowerRoman"/>
      <w:lvlText w:val="%9."/>
      <w:lvlJc w:val="right"/>
      <w:pPr>
        <w:ind w:left="6225" w:hanging="180"/>
      </w:pPr>
    </w:lvl>
  </w:abstractNum>
  <w:num w:numId="1">
    <w:abstractNumId w:val="31"/>
  </w:num>
  <w:num w:numId="2">
    <w:abstractNumId w:val="13"/>
  </w:num>
  <w:num w:numId="3">
    <w:abstractNumId w:val="20"/>
  </w:num>
  <w:num w:numId="4">
    <w:abstractNumId w:val="12"/>
  </w:num>
  <w:num w:numId="5">
    <w:abstractNumId w:val="25"/>
  </w:num>
  <w:num w:numId="6">
    <w:abstractNumId w:val="5"/>
  </w:num>
  <w:num w:numId="7">
    <w:abstractNumId w:val="23"/>
  </w:num>
  <w:num w:numId="8">
    <w:abstractNumId w:val="16"/>
  </w:num>
  <w:num w:numId="9">
    <w:abstractNumId w:val="28"/>
  </w:num>
  <w:num w:numId="10">
    <w:abstractNumId w:val="8"/>
  </w:num>
  <w:num w:numId="11">
    <w:abstractNumId w:val="15"/>
  </w:num>
  <w:num w:numId="12">
    <w:abstractNumId w:val="30"/>
  </w:num>
  <w:num w:numId="13">
    <w:abstractNumId w:val="32"/>
  </w:num>
  <w:num w:numId="14">
    <w:abstractNumId w:val="27"/>
  </w:num>
  <w:num w:numId="15">
    <w:abstractNumId w:val="11"/>
  </w:num>
  <w:num w:numId="16">
    <w:abstractNumId w:val="33"/>
  </w:num>
  <w:num w:numId="17">
    <w:abstractNumId w:val="18"/>
  </w:num>
  <w:num w:numId="18">
    <w:abstractNumId w:val="21"/>
  </w:num>
  <w:num w:numId="19">
    <w:abstractNumId w:val="1"/>
  </w:num>
  <w:num w:numId="20">
    <w:abstractNumId w:val="17"/>
  </w:num>
  <w:num w:numId="21">
    <w:abstractNumId w:val="7"/>
  </w:num>
  <w:num w:numId="22">
    <w:abstractNumId w:val="29"/>
  </w:num>
  <w:num w:numId="23">
    <w:abstractNumId w:val="3"/>
  </w:num>
  <w:num w:numId="24">
    <w:abstractNumId w:val="19"/>
  </w:num>
  <w:num w:numId="25">
    <w:abstractNumId w:val="26"/>
  </w:num>
  <w:num w:numId="26">
    <w:abstractNumId w:val="4"/>
  </w:num>
  <w:num w:numId="27">
    <w:abstractNumId w:val="9"/>
  </w:num>
  <w:num w:numId="28">
    <w:abstractNumId w:val="24"/>
  </w:num>
  <w:num w:numId="29">
    <w:abstractNumId w:val="22"/>
  </w:num>
  <w:num w:numId="30">
    <w:abstractNumId w:val="6"/>
  </w:num>
  <w:num w:numId="31">
    <w:abstractNumId w:val="14"/>
  </w:num>
  <w:num w:numId="32">
    <w:abstractNumId w:val="10"/>
  </w:num>
  <w:num w:numId="33">
    <w:abstractNumId w:val="2"/>
  </w:num>
  <w:num w:numId="34">
    <w:abstractNumId w:val="3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25"/>
    <w:rsid w:val="000403F5"/>
    <w:rsid w:val="000B6027"/>
    <w:rsid w:val="001E5FA4"/>
    <w:rsid w:val="002056FE"/>
    <w:rsid w:val="00214D29"/>
    <w:rsid w:val="00286C1B"/>
    <w:rsid w:val="002F06F1"/>
    <w:rsid w:val="00340E25"/>
    <w:rsid w:val="003631D9"/>
    <w:rsid w:val="003E79A0"/>
    <w:rsid w:val="00402D69"/>
    <w:rsid w:val="00415379"/>
    <w:rsid w:val="0041664D"/>
    <w:rsid w:val="00437447"/>
    <w:rsid w:val="004450F1"/>
    <w:rsid w:val="004B62F6"/>
    <w:rsid w:val="004E2149"/>
    <w:rsid w:val="004E56FE"/>
    <w:rsid w:val="004F5B2A"/>
    <w:rsid w:val="005416B6"/>
    <w:rsid w:val="00542880"/>
    <w:rsid w:val="00554A85"/>
    <w:rsid w:val="00581FEE"/>
    <w:rsid w:val="005E6349"/>
    <w:rsid w:val="005F53A9"/>
    <w:rsid w:val="005F68F9"/>
    <w:rsid w:val="0061491D"/>
    <w:rsid w:val="00650FD6"/>
    <w:rsid w:val="006D4735"/>
    <w:rsid w:val="00757B8B"/>
    <w:rsid w:val="007B63F0"/>
    <w:rsid w:val="007F56CE"/>
    <w:rsid w:val="008012C3"/>
    <w:rsid w:val="008D05FE"/>
    <w:rsid w:val="0092295F"/>
    <w:rsid w:val="00932026"/>
    <w:rsid w:val="0095343B"/>
    <w:rsid w:val="009C1142"/>
    <w:rsid w:val="00A42C1D"/>
    <w:rsid w:val="00A454EA"/>
    <w:rsid w:val="00A73CC1"/>
    <w:rsid w:val="00A768F1"/>
    <w:rsid w:val="00AE205D"/>
    <w:rsid w:val="00B11EEA"/>
    <w:rsid w:val="00B61F32"/>
    <w:rsid w:val="00B645CC"/>
    <w:rsid w:val="00B95706"/>
    <w:rsid w:val="00BE5FE9"/>
    <w:rsid w:val="00C84211"/>
    <w:rsid w:val="00D21DB6"/>
    <w:rsid w:val="00D7116E"/>
    <w:rsid w:val="00D750C3"/>
    <w:rsid w:val="00DF13DA"/>
    <w:rsid w:val="00E30D6C"/>
    <w:rsid w:val="00E37B0D"/>
    <w:rsid w:val="00ED3256"/>
    <w:rsid w:val="00F03D19"/>
    <w:rsid w:val="00F276C4"/>
    <w:rsid w:val="00FC532D"/>
    <w:rsid w:val="00FD729F"/>
    <w:rsid w:val="00FE40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AD9B"/>
  <w15:docId w15:val="{55260D5B-6F42-4351-9FB3-9342E38D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E25"/>
    <w:pPr>
      <w:jc w:val="both"/>
    </w:pPr>
    <w:rPr>
      <w:rFonts w:eastAsiaTheme="minorEastAsia"/>
      <w:sz w:val="20"/>
      <w:szCs w:val="20"/>
      <w:lang w:val="en-US"/>
    </w:rPr>
  </w:style>
  <w:style w:type="paragraph" w:styleId="Titre1">
    <w:name w:val="heading 1"/>
    <w:basedOn w:val="Normal"/>
    <w:next w:val="Normal"/>
    <w:link w:val="Titre1Car"/>
    <w:uiPriority w:val="9"/>
    <w:qFormat/>
    <w:rsid w:val="00340E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unhideWhenUsed/>
    <w:qFormat/>
    <w:rsid w:val="00340E25"/>
    <w:pPr>
      <w:spacing w:before="440" w:after="240"/>
      <w:jc w:val="left"/>
      <w:outlineLvl w:val="1"/>
    </w:pPr>
    <w:rPr>
      <w:rFonts w:ascii="Arial" w:hAnsi="Arial"/>
      <w:caps/>
      <w:color w:val="FF0000"/>
      <w:spacing w:val="5"/>
      <w:sz w:val="32"/>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0E25"/>
    <w:rPr>
      <w:rFonts w:ascii="Arial" w:eastAsiaTheme="majorEastAsia" w:hAnsi="Arial" w:cstheme="majorBidi"/>
      <w:b/>
      <w:bCs/>
      <w:caps/>
      <w:color w:val="FF0000"/>
      <w:spacing w:val="5"/>
      <w:sz w:val="32"/>
      <w:szCs w:val="26"/>
      <w:lang w:val="en-US"/>
    </w:rPr>
  </w:style>
  <w:style w:type="paragraph" w:styleId="Sansinterligne">
    <w:name w:val="No Spacing"/>
    <w:uiPriority w:val="1"/>
    <w:qFormat/>
    <w:rsid w:val="00340E25"/>
    <w:pPr>
      <w:spacing w:after="0" w:line="240" w:lineRule="auto"/>
      <w:jc w:val="both"/>
    </w:pPr>
    <w:rPr>
      <w:rFonts w:eastAsiaTheme="minorEastAsia"/>
      <w:sz w:val="20"/>
      <w:szCs w:val="20"/>
      <w:lang w:val="en-US"/>
    </w:rPr>
  </w:style>
  <w:style w:type="character" w:customStyle="1" w:styleId="Titre1Car">
    <w:name w:val="Titre 1 Car"/>
    <w:basedOn w:val="Policepardfaut"/>
    <w:link w:val="Titre1"/>
    <w:uiPriority w:val="9"/>
    <w:rsid w:val="00340E25"/>
    <w:rPr>
      <w:rFonts w:asciiTheme="majorHAnsi" w:eastAsiaTheme="majorEastAsia" w:hAnsiTheme="majorHAnsi" w:cstheme="majorBidi"/>
      <w:b/>
      <w:bCs/>
      <w:color w:val="365F91" w:themeColor="accent1" w:themeShade="BF"/>
      <w:sz w:val="28"/>
      <w:szCs w:val="28"/>
      <w:lang w:val="en-US"/>
    </w:rPr>
  </w:style>
  <w:style w:type="paragraph" w:styleId="Pardeliste">
    <w:name w:val="List Paragraph"/>
    <w:basedOn w:val="Normal"/>
    <w:uiPriority w:val="34"/>
    <w:qFormat/>
    <w:rsid w:val="00932026"/>
    <w:pPr>
      <w:ind w:left="720"/>
      <w:contextualSpacing/>
    </w:pPr>
  </w:style>
  <w:style w:type="paragraph" w:styleId="Textedebulles">
    <w:name w:val="Balloon Text"/>
    <w:basedOn w:val="Normal"/>
    <w:link w:val="TextedebullesCar"/>
    <w:uiPriority w:val="99"/>
    <w:semiHidden/>
    <w:unhideWhenUsed/>
    <w:rsid w:val="003631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1D9"/>
    <w:rPr>
      <w:rFonts w:ascii="Tahoma" w:eastAsiaTheme="minorEastAsia" w:hAnsi="Tahoma" w:cs="Tahoma"/>
      <w:sz w:val="16"/>
      <w:szCs w:val="16"/>
      <w:lang w:val="en-US"/>
    </w:rPr>
  </w:style>
  <w:style w:type="character" w:customStyle="1" w:styleId="st1">
    <w:name w:val="st1"/>
    <w:basedOn w:val="Policepardfaut"/>
    <w:rsid w:val="00AE205D"/>
  </w:style>
  <w:style w:type="character" w:styleId="Marquedecommentaire">
    <w:name w:val="annotation reference"/>
    <w:basedOn w:val="Policepardfaut"/>
    <w:uiPriority w:val="99"/>
    <w:semiHidden/>
    <w:unhideWhenUsed/>
    <w:rsid w:val="001E5FA4"/>
    <w:rPr>
      <w:sz w:val="16"/>
      <w:szCs w:val="16"/>
    </w:rPr>
  </w:style>
  <w:style w:type="paragraph" w:styleId="Commentaire">
    <w:name w:val="annotation text"/>
    <w:basedOn w:val="Normal"/>
    <w:link w:val="CommentaireCar"/>
    <w:uiPriority w:val="99"/>
    <w:semiHidden/>
    <w:unhideWhenUsed/>
    <w:rsid w:val="001E5FA4"/>
    <w:pPr>
      <w:spacing w:line="240" w:lineRule="auto"/>
    </w:pPr>
  </w:style>
  <w:style w:type="character" w:customStyle="1" w:styleId="CommentaireCar">
    <w:name w:val="Commentaire Car"/>
    <w:basedOn w:val="Policepardfaut"/>
    <w:link w:val="Commentaire"/>
    <w:uiPriority w:val="99"/>
    <w:semiHidden/>
    <w:rsid w:val="001E5FA4"/>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1E5FA4"/>
    <w:rPr>
      <w:b/>
      <w:bCs/>
    </w:rPr>
  </w:style>
  <w:style w:type="character" w:customStyle="1" w:styleId="ObjetducommentaireCar">
    <w:name w:val="Objet du commentaire Car"/>
    <w:basedOn w:val="CommentaireCar"/>
    <w:link w:val="Objetducommentaire"/>
    <w:uiPriority w:val="99"/>
    <w:semiHidden/>
    <w:rsid w:val="001E5FA4"/>
    <w:rPr>
      <w:rFonts w:eastAsiaTheme="minorEastAsia"/>
      <w:b/>
      <w:bCs/>
      <w:sz w:val="20"/>
      <w:szCs w:val="20"/>
      <w:lang w:val="en-US"/>
    </w:rPr>
  </w:style>
  <w:style w:type="paragraph" w:styleId="En-tte">
    <w:name w:val="header"/>
    <w:basedOn w:val="Normal"/>
    <w:link w:val="En-tteCar"/>
    <w:uiPriority w:val="99"/>
    <w:unhideWhenUsed/>
    <w:rsid w:val="00A73CC1"/>
    <w:pPr>
      <w:tabs>
        <w:tab w:val="center" w:pos="4536"/>
        <w:tab w:val="right" w:pos="9072"/>
      </w:tabs>
      <w:spacing w:after="0" w:line="240" w:lineRule="auto"/>
    </w:pPr>
  </w:style>
  <w:style w:type="character" w:customStyle="1" w:styleId="En-tteCar">
    <w:name w:val="En-tête Car"/>
    <w:basedOn w:val="Policepardfaut"/>
    <w:link w:val="En-tte"/>
    <w:uiPriority w:val="99"/>
    <w:rsid w:val="00A73CC1"/>
    <w:rPr>
      <w:rFonts w:eastAsiaTheme="minorEastAsia"/>
      <w:sz w:val="20"/>
      <w:szCs w:val="20"/>
      <w:lang w:val="en-US"/>
    </w:rPr>
  </w:style>
  <w:style w:type="paragraph" w:styleId="Pieddepage">
    <w:name w:val="footer"/>
    <w:basedOn w:val="Normal"/>
    <w:link w:val="PieddepageCar"/>
    <w:uiPriority w:val="99"/>
    <w:unhideWhenUsed/>
    <w:rsid w:val="00A73C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CC1"/>
    <w:rPr>
      <w:rFonts w:eastAsiaTheme="minorEastAsia"/>
      <w:sz w:val="20"/>
      <w:szCs w:val="20"/>
      <w:lang w:val="en-US"/>
    </w:rPr>
  </w:style>
  <w:style w:type="character" w:styleId="Numrodepage">
    <w:name w:val="page number"/>
    <w:basedOn w:val="Policepardfaut"/>
    <w:uiPriority w:val="99"/>
    <w:semiHidden/>
    <w:unhideWhenUsed/>
    <w:rsid w:val="002056FE"/>
  </w:style>
  <w:style w:type="paragraph" w:customStyle="1" w:styleId="Concordtitre">
    <w:name w:val="Concord titre"/>
    <w:basedOn w:val="Titre2"/>
    <w:link w:val="ConcordtitreCar"/>
    <w:qFormat/>
    <w:rsid w:val="00542880"/>
    <w:pPr>
      <w:ind w:left="-567" w:right="-1039"/>
    </w:pPr>
    <w:rPr>
      <w:color w:val="C00000"/>
      <w:lang w:val="en-GB"/>
    </w:rPr>
  </w:style>
  <w:style w:type="character" w:customStyle="1" w:styleId="ConcordtitreCar">
    <w:name w:val="Concord titre Car"/>
    <w:basedOn w:val="Titre2Car"/>
    <w:link w:val="Concordtitre"/>
    <w:rsid w:val="00542880"/>
    <w:rPr>
      <w:rFonts w:ascii="Arial" w:eastAsiaTheme="majorEastAsia" w:hAnsi="Arial" w:cstheme="majorBidi"/>
      <w:b/>
      <w:bCs/>
      <w:caps/>
      <w:color w:val="C00000"/>
      <w:spacing w:val="5"/>
      <w:sz w:val="32"/>
      <w:szCs w:val="26"/>
      <w:lang w:val="en-US"/>
    </w:rPr>
  </w:style>
  <w:style w:type="paragraph" w:customStyle="1" w:styleId="Concordsous-titre">
    <w:name w:val="Concord sous-titre"/>
    <w:basedOn w:val="Normal"/>
    <w:qFormat/>
    <w:rsid w:val="00542880"/>
    <w:pPr>
      <w:ind w:left="-567" w:right="-1039"/>
      <w:jc w:val="left"/>
    </w:pPr>
    <w:rPr>
      <w:rFonts w:ascii="Arial" w:hAnsi="Arial" w:cs="Arial"/>
      <w:b/>
      <w:color w:val="E36C0A" w:themeColor="accent6" w:themeShade="BF"/>
      <w:sz w:val="26"/>
      <w:szCs w:val="26"/>
    </w:rPr>
  </w:style>
  <w:style w:type="paragraph" w:styleId="Notedebasdepage">
    <w:name w:val="footnote text"/>
    <w:basedOn w:val="Normal"/>
    <w:link w:val="NotedebasdepageCar"/>
    <w:uiPriority w:val="99"/>
    <w:semiHidden/>
    <w:unhideWhenUsed/>
    <w:rsid w:val="00A42C1D"/>
    <w:pPr>
      <w:spacing w:after="0" w:line="240" w:lineRule="auto"/>
      <w:jc w:val="left"/>
    </w:pPr>
    <w:rPr>
      <w:rFonts w:eastAsiaTheme="minorHAnsi"/>
      <w:lang w:val="en-GB"/>
    </w:rPr>
  </w:style>
  <w:style w:type="character" w:customStyle="1" w:styleId="NotedebasdepageCar">
    <w:name w:val="Note de bas de page Car"/>
    <w:basedOn w:val="Policepardfaut"/>
    <w:link w:val="Notedebasdepage"/>
    <w:uiPriority w:val="99"/>
    <w:semiHidden/>
    <w:rsid w:val="00A42C1D"/>
    <w:rPr>
      <w:sz w:val="20"/>
      <w:szCs w:val="20"/>
    </w:rPr>
  </w:style>
  <w:style w:type="character" w:styleId="Lienhypertexte">
    <w:name w:val="Hyperlink"/>
    <w:uiPriority w:val="99"/>
    <w:unhideWhenUsed/>
    <w:rsid w:val="00A42C1D"/>
    <w:rPr>
      <w:color w:val="0000FF"/>
      <w:u w:val="single"/>
    </w:rPr>
  </w:style>
  <w:style w:type="character" w:styleId="Appelnotedebasdep">
    <w:name w:val="footnote reference"/>
    <w:uiPriority w:val="99"/>
    <w:semiHidden/>
    <w:unhideWhenUsed/>
    <w:rsid w:val="00A42C1D"/>
    <w:rPr>
      <w:vertAlign w:val="superscript"/>
    </w:rPr>
  </w:style>
  <w:style w:type="character" w:styleId="Lienhypertextevisit">
    <w:name w:val="FollowedHyperlink"/>
    <w:basedOn w:val="Policepardfaut"/>
    <w:uiPriority w:val="99"/>
    <w:semiHidden/>
    <w:unhideWhenUsed/>
    <w:rsid w:val="00A42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1177">
      <w:bodyDiv w:val="1"/>
      <w:marLeft w:val="0"/>
      <w:marRight w:val="0"/>
      <w:marTop w:val="0"/>
      <w:marBottom w:val="0"/>
      <w:divBdr>
        <w:top w:val="none" w:sz="0" w:space="0" w:color="auto"/>
        <w:left w:val="none" w:sz="0" w:space="0" w:color="auto"/>
        <w:bottom w:val="none" w:sz="0" w:space="0" w:color="auto"/>
        <w:right w:val="none" w:sz="0" w:space="0" w:color="auto"/>
      </w:divBdr>
    </w:div>
    <w:div w:id="232082145">
      <w:bodyDiv w:val="1"/>
      <w:marLeft w:val="0"/>
      <w:marRight w:val="0"/>
      <w:marTop w:val="0"/>
      <w:marBottom w:val="0"/>
      <w:divBdr>
        <w:top w:val="none" w:sz="0" w:space="0" w:color="auto"/>
        <w:left w:val="none" w:sz="0" w:space="0" w:color="auto"/>
        <w:bottom w:val="none" w:sz="0" w:space="0" w:color="auto"/>
        <w:right w:val="none" w:sz="0" w:space="0" w:color="auto"/>
      </w:divBdr>
      <w:divsChild>
        <w:div w:id="1070351855">
          <w:marLeft w:val="1166"/>
          <w:marRight w:val="0"/>
          <w:marTop w:val="96"/>
          <w:marBottom w:val="0"/>
          <w:divBdr>
            <w:top w:val="none" w:sz="0" w:space="0" w:color="auto"/>
            <w:left w:val="none" w:sz="0" w:space="0" w:color="auto"/>
            <w:bottom w:val="none" w:sz="0" w:space="0" w:color="auto"/>
            <w:right w:val="none" w:sz="0" w:space="0" w:color="auto"/>
          </w:divBdr>
        </w:div>
      </w:divsChild>
    </w:div>
    <w:div w:id="283847691">
      <w:bodyDiv w:val="1"/>
      <w:marLeft w:val="0"/>
      <w:marRight w:val="0"/>
      <w:marTop w:val="0"/>
      <w:marBottom w:val="0"/>
      <w:divBdr>
        <w:top w:val="none" w:sz="0" w:space="0" w:color="auto"/>
        <w:left w:val="none" w:sz="0" w:space="0" w:color="auto"/>
        <w:bottom w:val="none" w:sz="0" w:space="0" w:color="auto"/>
        <w:right w:val="none" w:sz="0" w:space="0" w:color="auto"/>
      </w:divBdr>
    </w:div>
    <w:div w:id="632709795">
      <w:bodyDiv w:val="1"/>
      <w:marLeft w:val="0"/>
      <w:marRight w:val="0"/>
      <w:marTop w:val="0"/>
      <w:marBottom w:val="0"/>
      <w:divBdr>
        <w:top w:val="none" w:sz="0" w:space="0" w:color="auto"/>
        <w:left w:val="none" w:sz="0" w:space="0" w:color="auto"/>
        <w:bottom w:val="none" w:sz="0" w:space="0" w:color="auto"/>
        <w:right w:val="none" w:sz="0" w:space="0" w:color="auto"/>
      </w:divBdr>
      <w:divsChild>
        <w:div w:id="1682122471">
          <w:marLeft w:val="547"/>
          <w:marRight w:val="0"/>
          <w:marTop w:val="144"/>
          <w:marBottom w:val="0"/>
          <w:divBdr>
            <w:top w:val="none" w:sz="0" w:space="0" w:color="auto"/>
            <w:left w:val="none" w:sz="0" w:space="0" w:color="auto"/>
            <w:bottom w:val="none" w:sz="0" w:space="0" w:color="auto"/>
            <w:right w:val="none" w:sz="0" w:space="0" w:color="auto"/>
          </w:divBdr>
        </w:div>
        <w:div w:id="315694665">
          <w:marLeft w:val="547"/>
          <w:marRight w:val="0"/>
          <w:marTop w:val="144"/>
          <w:marBottom w:val="0"/>
          <w:divBdr>
            <w:top w:val="none" w:sz="0" w:space="0" w:color="auto"/>
            <w:left w:val="none" w:sz="0" w:space="0" w:color="auto"/>
            <w:bottom w:val="none" w:sz="0" w:space="0" w:color="auto"/>
            <w:right w:val="none" w:sz="0" w:space="0" w:color="auto"/>
          </w:divBdr>
        </w:div>
        <w:div w:id="1358627678">
          <w:marLeft w:val="547"/>
          <w:marRight w:val="0"/>
          <w:marTop w:val="144"/>
          <w:marBottom w:val="0"/>
          <w:divBdr>
            <w:top w:val="none" w:sz="0" w:space="0" w:color="auto"/>
            <w:left w:val="none" w:sz="0" w:space="0" w:color="auto"/>
            <w:bottom w:val="none" w:sz="0" w:space="0" w:color="auto"/>
            <w:right w:val="none" w:sz="0" w:space="0" w:color="auto"/>
          </w:divBdr>
        </w:div>
        <w:div w:id="559708459">
          <w:marLeft w:val="547"/>
          <w:marRight w:val="0"/>
          <w:marTop w:val="144"/>
          <w:marBottom w:val="0"/>
          <w:divBdr>
            <w:top w:val="none" w:sz="0" w:space="0" w:color="auto"/>
            <w:left w:val="none" w:sz="0" w:space="0" w:color="auto"/>
            <w:bottom w:val="none" w:sz="0" w:space="0" w:color="auto"/>
            <w:right w:val="none" w:sz="0" w:space="0" w:color="auto"/>
          </w:divBdr>
        </w:div>
        <w:div w:id="404492548">
          <w:marLeft w:val="547"/>
          <w:marRight w:val="0"/>
          <w:marTop w:val="144"/>
          <w:marBottom w:val="0"/>
          <w:divBdr>
            <w:top w:val="none" w:sz="0" w:space="0" w:color="auto"/>
            <w:left w:val="none" w:sz="0" w:space="0" w:color="auto"/>
            <w:bottom w:val="none" w:sz="0" w:space="0" w:color="auto"/>
            <w:right w:val="none" w:sz="0" w:space="0" w:color="auto"/>
          </w:divBdr>
        </w:div>
        <w:div w:id="95945011">
          <w:marLeft w:val="547"/>
          <w:marRight w:val="0"/>
          <w:marTop w:val="144"/>
          <w:marBottom w:val="0"/>
          <w:divBdr>
            <w:top w:val="none" w:sz="0" w:space="0" w:color="auto"/>
            <w:left w:val="none" w:sz="0" w:space="0" w:color="auto"/>
            <w:bottom w:val="none" w:sz="0" w:space="0" w:color="auto"/>
            <w:right w:val="none" w:sz="0" w:space="0" w:color="auto"/>
          </w:divBdr>
        </w:div>
        <w:div w:id="2098869069">
          <w:marLeft w:val="547"/>
          <w:marRight w:val="0"/>
          <w:marTop w:val="144"/>
          <w:marBottom w:val="0"/>
          <w:divBdr>
            <w:top w:val="none" w:sz="0" w:space="0" w:color="auto"/>
            <w:left w:val="none" w:sz="0" w:space="0" w:color="auto"/>
            <w:bottom w:val="none" w:sz="0" w:space="0" w:color="auto"/>
            <w:right w:val="none" w:sz="0" w:space="0" w:color="auto"/>
          </w:divBdr>
        </w:div>
        <w:div w:id="1877354741">
          <w:marLeft w:val="547"/>
          <w:marRight w:val="0"/>
          <w:marTop w:val="144"/>
          <w:marBottom w:val="0"/>
          <w:divBdr>
            <w:top w:val="none" w:sz="0" w:space="0" w:color="auto"/>
            <w:left w:val="none" w:sz="0" w:space="0" w:color="auto"/>
            <w:bottom w:val="none" w:sz="0" w:space="0" w:color="auto"/>
            <w:right w:val="none" w:sz="0" w:space="0" w:color="auto"/>
          </w:divBdr>
        </w:div>
        <w:div w:id="332420059">
          <w:marLeft w:val="547"/>
          <w:marRight w:val="0"/>
          <w:marTop w:val="144"/>
          <w:marBottom w:val="0"/>
          <w:divBdr>
            <w:top w:val="none" w:sz="0" w:space="0" w:color="auto"/>
            <w:left w:val="none" w:sz="0" w:space="0" w:color="auto"/>
            <w:bottom w:val="none" w:sz="0" w:space="0" w:color="auto"/>
            <w:right w:val="none" w:sz="0" w:space="0" w:color="auto"/>
          </w:divBdr>
        </w:div>
      </w:divsChild>
    </w:div>
    <w:div w:id="887257318">
      <w:bodyDiv w:val="1"/>
      <w:marLeft w:val="0"/>
      <w:marRight w:val="0"/>
      <w:marTop w:val="0"/>
      <w:marBottom w:val="0"/>
      <w:divBdr>
        <w:top w:val="none" w:sz="0" w:space="0" w:color="auto"/>
        <w:left w:val="none" w:sz="0" w:space="0" w:color="auto"/>
        <w:bottom w:val="none" w:sz="0" w:space="0" w:color="auto"/>
        <w:right w:val="none" w:sz="0" w:space="0" w:color="auto"/>
      </w:divBdr>
      <w:divsChild>
        <w:div w:id="33383968">
          <w:marLeft w:val="547"/>
          <w:marRight w:val="0"/>
          <w:marTop w:val="130"/>
          <w:marBottom w:val="0"/>
          <w:divBdr>
            <w:top w:val="none" w:sz="0" w:space="0" w:color="auto"/>
            <w:left w:val="none" w:sz="0" w:space="0" w:color="auto"/>
            <w:bottom w:val="none" w:sz="0" w:space="0" w:color="auto"/>
            <w:right w:val="none" w:sz="0" w:space="0" w:color="auto"/>
          </w:divBdr>
        </w:div>
        <w:div w:id="2143189043">
          <w:marLeft w:val="1166"/>
          <w:marRight w:val="0"/>
          <w:marTop w:val="115"/>
          <w:marBottom w:val="0"/>
          <w:divBdr>
            <w:top w:val="none" w:sz="0" w:space="0" w:color="auto"/>
            <w:left w:val="none" w:sz="0" w:space="0" w:color="auto"/>
            <w:bottom w:val="none" w:sz="0" w:space="0" w:color="auto"/>
            <w:right w:val="none" w:sz="0" w:space="0" w:color="auto"/>
          </w:divBdr>
        </w:div>
        <w:div w:id="1783064883">
          <w:marLeft w:val="1166"/>
          <w:marRight w:val="0"/>
          <w:marTop w:val="115"/>
          <w:marBottom w:val="0"/>
          <w:divBdr>
            <w:top w:val="none" w:sz="0" w:space="0" w:color="auto"/>
            <w:left w:val="none" w:sz="0" w:space="0" w:color="auto"/>
            <w:bottom w:val="none" w:sz="0" w:space="0" w:color="auto"/>
            <w:right w:val="none" w:sz="0" w:space="0" w:color="auto"/>
          </w:divBdr>
        </w:div>
        <w:div w:id="2005737569">
          <w:marLeft w:val="1166"/>
          <w:marRight w:val="0"/>
          <w:marTop w:val="115"/>
          <w:marBottom w:val="0"/>
          <w:divBdr>
            <w:top w:val="none" w:sz="0" w:space="0" w:color="auto"/>
            <w:left w:val="none" w:sz="0" w:space="0" w:color="auto"/>
            <w:bottom w:val="none" w:sz="0" w:space="0" w:color="auto"/>
            <w:right w:val="none" w:sz="0" w:space="0" w:color="auto"/>
          </w:divBdr>
        </w:div>
        <w:div w:id="462574657">
          <w:marLeft w:val="1166"/>
          <w:marRight w:val="0"/>
          <w:marTop w:val="115"/>
          <w:marBottom w:val="0"/>
          <w:divBdr>
            <w:top w:val="none" w:sz="0" w:space="0" w:color="auto"/>
            <w:left w:val="none" w:sz="0" w:space="0" w:color="auto"/>
            <w:bottom w:val="none" w:sz="0" w:space="0" w:color="auto"/>
            <w:right w:val="none" w:sz="0" w:space="0" w:color="auto"/>
          </w:divBdr>
        </w:div>
        <w:div w:id="1967924023">
          <w:marLeft w:val="547"/>
          <w:marRight w:val="0"/>
          <w:marTop w:val="130"/>
          <w:marBottom w:val="0"/>
          <w:divBdr>
            <w:top w:val="none" w:sz="0" w:space="0" w:color="auto"/>
            <w:left w:val="none" w:sz="0" w:space="0" w:color="auto"/>
            <w:bottom w:val="none" w:sz="0" w:space="0" w:color="auto"/>
            <w:right w:val="none" w:sz="0" w:space="0" w:color="auto"/>
          </w:divBdr>
        </w:div>
        <w:div w:id="60375123">
          <w:marLeft w:val="1166"/>
          <w:marRight w:val="0"/>
          <w:marTop w:val="115"/>
          <w:marBottom w:val="0"/>
          <w:divBdr>
            <w:top w:val="none" w:sz="0" w:space="0" w:color="auto"/>
            <w:left w:val="none" w:sz="0" w:space="0" w:color="auto"/>
            <w:bottom w:val="none" w:sz="0" w:space="0" w:color="auto"/>
            <w:right w:val="none" w:sz="0" w:space="0" w:color="auto"/>
          </w:divBdr>
        </w:div>
        <w:div w:id="147984096">
          <w:marLeft w:val="1166"/>
          <w:marRight w:val="0"/>
          <w:marTop w:val="115"/>
          <w:marBottom w:val="0"/>
          <w:divBdr>
            <w:top w:val="none" w:sz="0" w:space="0" w:color="auto"/>
            <w:left w:val="none" w:sz="0" w:space="0" w:color="auto"/>
            <w:bottom w:val="none" w:sz="0" w:space="0" w:color="auto"/>
            <w:right w:val="none" w:sz="0" w:space="0" w:color="auto"/>
          </w:divBdr>
        </w:div>
        <w:div w:id="755589198">
          <w:marLeft w:val="1166"/>
          <w:marRight w:val="0"/>
          <w:marTop w:val="115"/>
          <w:marBottom w:val="0"/>
          <w:divBdr>
            <w:top w:val="none" w:sz="0" w:space="0" w:color="auto"/>
            <w:left w:val="none" w:sz="0" w:space="0" w:color="auto"/>
            <w:bottom w:val="none" w:sz="0" w:space="0" w:color="auto"/>
            <w:right w:val="none" w:sz="0" w:space="0" w:color="auto"/>
          </w:divBdr>
        </w:div>
      </w:divsChild>
    </w:div>
    <w:div w:id="956713753">
      <w:bodyDiv w:val="1"/>
      <w:marLeft w:val="0"/>
      <w:marRight w:val="0"/>
      <w:marTop w:val="0"/>
      <w:marBottom w:val="0"/>
      <w:divBdr>
        <w:top w:val="none" w:sz="0" w:space="0" w:color="auto"/>
        <w:left w:val="none" w:sz="0" w:space="0" w:color="auto"/>
        <w:bottom w:val="none" w:sz="0" w:space="0" w:color="auto"/>
        <w:right w:val="none" w:sz="0" w:space="0" w:color="auto"/>
      </w:divBdr>
      <w:divsChild>
        <w:div w:id="289095951">
          <w:marLeft w:val="547"/>
          <w:marRight w:val="0"/>
          <w:marTop w:val="96"/>
          <w:marBottom w:val="0"/>
          <w:divBdr>
            <w:top w:val="none" w:sz="0" w:space="0" w:color="auto"/>
            <w:left w:val="none" w:sz="0" w:space="0" w:color="auto"/>
            <w:bottom w:val="none" w:sz="0" w:space="0" w:color="auto"/>
            <w:right w:val="none" w:sz="0" w:space="0" w:color="auto"/>
          </w:divBdr>
        </w:div>
        <w:div w:id="24253086">
          <w:marLeft w:val="547"/>
          <w:marRight w:val="0"/>
          <w:marTop w:val="96"/>
          <w:marBottom w:val="0"/>
          <w:divBdr>
            <w:top w:val="none" w:sz="0" w:space="0" w:color="auto"/>
            <w:left w:val="none" w:sz="0" w:space="0" w:color="auto"/>
            <w:bottom w:val="none" w:sz="0" w:space="0" w:color="auto"/>
            <w:right w:val="none" w:sz="0" w:space="0" w:color="auto"/>
          </w:divBdr>
        </w:div>
      </w:divsChild>
    </w:div>
    <w:div w:id="999774035">
      <w:bodyDiv w:val="1"/>
      <w:marLeft w:val="0"/>
      <w:marRight w:val="0"/>
      <w:marTop w:val="0"/>
      <w:marBottom w:val="0"/>
      <w:divBdr>
        <w:top w:val="none" w:sz="0" w:space="0" w:color="auto"/>
        <w:left w:val="none" w:sz="0" w:space="0" w:color="auto"/>
        <w:bottom w:val="none" w:sz="0" w:space="0" w:color="auto"/>
        <w:right w:val="none" w:sz="0" w:space="0" w:color="auto"/>
      </w:divBdr>
    </w:div>
    <w:div w:id="1202396479">
      <w:bodyDiv w:val="1"/>
      <w:marLeft w:val="0"/>
      <w:marRight w:val="0"/>
      <w:marTop w:val="0"/>
      <w:marBottom w:val="0"/>
      <w:divBdr>
        <w:top w:val="none" w:sz="0" w:space="0" w:color="auto"/>
        <w:left w:val="none" w:sz="0" w:space="0" w:color="auto"/>
        <w:bottom w:val="none" w:sz="0" w:space="0" w:color="auto"/>
        <w:right w:val="none" w:sz="0" w:space="0" w:color="auto"/>
      </w:divBdr>
      <w:divsChild>
        <w:div w:id="498469524">
          <w:marLeft w:val="547"/>
          <w:marRight w:val="0"/>
          <w:marTop w:val="96"/>
          <w:marBottom w:val="0"/>
          <w:divBdr>
            <w:top w:val="none" w:sz="0" w:space="0" w:color="auto"/>
            <w:left w:val="none" w:sz="0" w:space="0" w:color="auto"/>
            <w:bottom w:val="none" w:sz="0" w:space="0" w:color="auto"/>
            <w:right w:val="none" w:sz="0" w:space="0" w:color="auto"/>
          </w:divBdr>
        </w:div>
        <w:div w:id="1158379780">
          <w:marLeft w:val="547"/>
          <w:marRight w:val="0"/>
          <w:marTop w:val="96"/>
          <w:marBottom w:val="0"/>
          <w:divBdr>
            <w:top w:val="none" w:sz="0" w:space="0" w:color="auto"/>
            <w:left w:val="none" w:sz="0" w:space="0" w:color="auto"/>
            <w:bottom w:val="none" w:sz="0" w:space="0" w:color="auto"/>
            <w:right w:val="none" w:sz="0" w:space="0" w:color="auto"/>
          </w:divBdr>
        </w:div>
      </w:divsChild>
    </w:div>
    <w:div w:id="1546792895">
      <w:bodyDiv w:val="1"/>
      <w:marLeft w:val="0"/>
      <w:marRight w:val="0"/>
      <w:marTop w:val="0"/>
      <w:marBottom w:val="0"/>
      <w:divBdr>
        <w:top w:val="none" w:sz="0" w:space="0" w:color="auto"/>
        <w:left w:val="none" w:sz="0" w:space="0" w:color="auto"/>
        <w:bottom w:val="none" w:sz="0" w:space="0" w:color="auto"/>
        <w:right w:val="none" w:sz="0" w:space="0" w:color="auto"/>
      </w:divBdr>
      <w:divsChild>
        <w:div w:id="1641763756">
          <w:marLeft w:val="547"/>
          <w:marRight w:val="0"/>
          <w:marTop w:val="154"/>
          <w:marBottom w:val="0"/>
          <w:divBdr>
            <w:top w:val="none" w:sz="0" w:space="0" w:color="auto"/>
            <w:left w:val="none" w:sz="0" w:space="0" w:color="auto"/>
            <w:bottom w:val="none" w:sz="0" w:space="0" w:color="auto"/>
            <w:right w:val="none" w:sz="0" w:space="0" w:color="auto"/>
          </w:divBdr>
        </w:div>
        <w:div w:id="1669597839">
          <w:marLeft w:val="1166"/>
          <w:marRight w:val="0"/>
          <w:marTop w:val="134"/>
          <w:marBottom w:val="0"/>
          <w:divBdr>
            <w:top w:val="none" w:sz="0" w:space="0" w:color="auto"/>
            <w:left w:val="none" w:sz="0" w:space="0" w:color="auto"/>
            <w:bottom w:val="none" w:sz="0" w:space="0" w:color="auto"/>
            <w:right w:val="none" w:sz="0" w:space="0" w:color="auto"/>
          </w:divBdr>
        </w:div>
        <w:div w:id="2023823627">
          <w:marLeft w:val="1166"/>
          <w:marRight w:val="0"/>
          <w:marTop w:val="134"/>
          <w:marBottom w:val="0"/>
          <w:divBdr>
            <w:top w:val="none" w:sz="0" w:space="0" w:color="auto"/>
            <w:left w:val="none" w:sz="0" w:space="0" w:color="auto"/>
            <w:bottom w:val="none" w:sz="0" w:space="0" w:color="auto"/>
            <w:right w:val="none" w:sz="0" w:space="0" w:color="auto"/>
          </w:divBdr>
        </w:div>
        <w:div w:id="1146436568">
          <w:marLeft w:val="1166"/>
          <w:marRight w:val="0"/>
          <w:marTop w:val="134"/>
          <w:marBottom w:val="0"/>
          <w:divBdr>
            <w:top w:val="none" w:sz="0" w:space="0" w:color="auto"/>
            <w:left w:val="none" w:sz="0" w:space="0" w:color="auto"/>
            <w:bottom w:val="none" w:sz="0" w:space="0" w:color="auto"/>
            <w:right w:val="none" w:sz="0" w:space="0" w:color="auto"/>
          </w:divBdr>
        </w:div>
      </w:divsChild>
    </w:div>
    <w:div w:id="1557859624">
      <w:bodyDiv w:val="1"/>
      <w:marLeft w:val="0"/>
      <w:marRight w:val="0"/>
      <w:marTop w:val="0"/>
      <w:marBottom w:val="0"/>
      <w:divBdr>
        <w:top w:val="none" w:sz="0" w:space="0" w:color="auto"/>
        <w:left w:val="none" w:sz="0" w:space="0" w:color="auto"/>
        <w:bottom w:val="none" w:sz="0" w:space="0" w:color="auto"/>
        <w:right w:val="none" w:sz="0" w:space="0" w:color="auto"/>
      </w:divBdr>
    </w:div>
    <w:div w:id="1778410114">
      <w:bodyDiv w:val="1"/>
      <w:marLeft w:val="0"/>
      <w:marRight w:val="0"/>
      <w:marTop w:val="0"/>
      <w:marBottom w:val="0"/>
      <w:divBdr>
        <w:top w:val="none" w:sz="0" w:space="0" w:color="auto"/>
        <w:left w:val="none" w:sz="0" w:space="0" w:color="auto"/>
        <w:bottom w:val="none" w:sz="0" w:space="0" w:color="auto"/>
        <w:right w:val="none" w:sz="0" w:space="0" w:color="auto"/>
      </w:divBdr>
      <w:divsChild>
        <w:div w:id="937954251">
          <w:marLeft w:val="1166"/>
          <w:marRight w:val="0"/>
          <w:marTop w:val="96"/>
          <w:marBottom w:val="0"/>
          <w:divBdr>
            <w:top w:val="none" w:sz="0" w:space="0" w:color="auto"/>
            <w:left w:val="none" w:sz="0" w:space="0" w:color="auto"/>
            <w:bottom w:val="none" w:sz="0" w:space="0" w:color="auto"/>
            <w:right w:val="none" w:sz="0" w:space="0" w:color="auto"/>
          </w:divBdr>
        </w:div>
      </w:divsChild>
    </w:div>
    <w:div w:id="1929458293">
      <w:bodyDiv w:val="1"/>
      <w:marLeft w:val="0"/>
      <w:marRight w:val="0"/>
      <w:marTop w:val="0"/>
      <w:marBottom w:val="0"/>
      <w:divBdr>
        <w:top w:val="none" w:sz="0" w:space="0" w:color="auto"/>
        <w:left w:val="none" w:sz="0" w:space="0" w:color="auto"/>
        <w:bottom w:val="none" w:sz="0" w:space="0" w:color="auto"/>
        <w:right w:val="none" w:sz="0" w:space="0" w:color="auto"/>
      </w:divBdr>
    </w:div>
    <w:div w:id="20804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ec.europa.eu/trade/policy/countries-and-regions/development/economic-partnerships/"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concordeurope.org/publications/item/406-the-eu-delegations-watch-report-20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1404</Words>
  <Characters>7726</Characters>
  <Application>Microsoft Macintosh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dc:creator>
  <cp:lastModifiedBy>Utilisateur de Microsoft Office</cp:lastModifiedBy>
  <cp:revision>12</cp:revision>
  <dcterms:created xsi:type="dcterms:W3CDTF">2015-12-18T08:11:00Z</dcterms:created>
  <dcterms:modified xsi:type="dcterms:W3CDTF">2016-03-20T10:05:00Z</dcterms:modified>
</cp:coreProperties>
</file>