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C36A" w14:textId="21A8F0DB" w:rsidR="001244D8" w:rsidRPr="00DF2249" w:rsidRDefault="001244D8" w:rsidP="001244D8">
      <w:pPr>
        <w:pStyle w:val="Titre"/>
        <w:jc w:val="center"/>
        <w:rPr>
          <w:rFonts w:eastAsia="Times New Roman"/>
          <w:sz w:val="40"/>
        </w:rPr>
      </w:pPr>
      <w:r w:rsidRPr="004D3E97">
        <w:rPr>
          <w:rFonts w:eastAsia="Times New Roman"/>
        </w:rPr>
        <w:t>Cahier des charges</w:t>
      </w:r>
      <w:r>
        <w:rPr>
          <w:rFonts w:eastAsia="Times New Roman"/>
          <w:sz w:val="40"/>
        </w:rPr>
        <w:t xml:space="preserve"> – </w:t>
      </w:r>
      <w:r w:rsidR="002C2227" w:rsidRPr="00344C18">
        <w:rPr>
          <w:rFonts w:eastAsia="Times New Roman"/>
        </w:rPr>
        <w:t>202</w:t>
      </w:r>
      <w:r w:rsidR="00377009" w:rsidRPr="00344C18">
        <w:rPr>
          <w:rFonts w:eastAsia="Times New Roman"/>
        </w:rPr>
        <w:t>5</w:t>
      </w:r>
      <w:r w:rsidR="006A2530" w:rsidRPr="00344C18">
        <w:rPr>
          <w:rFonts w:eastAsia="Times New Roman"/>
        </w:rPr>
        <w:t>/</w:t>
      </w:r>
      <w:r w:rsidR="00344C18" w:rsidRPr="00344C18">
        <w:rPr>
          <w:rFonts w:eastAsia="Times New Roman"/>
        </w:rPr>
        <w:t>SIE06/CC01</w:t>
      </w:r>
    </w:p>
    <w:p w14:paraId="01077D19" w14:textId="77777777" w:rsidR="000115DF" w:rsidRDefault="000115DF" w:rsidP="000115DF">
      <w:pPr>
        <w:pStyle w:val="Sansinterligne"/>
        <w:spacing w:line="360" w:lineRule="auto"/>
      </w:pPr>
    </w:p>
    <w:p w14:paraId="1756D56B" w14:textId="37DCEC80" w:rsidR="000115DF" w:rsidRPr="00475B58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475B58">
        <w:rPr>
          <w:lang w:val="fr-FR"/>
        </w:rPr>
        <w:t>Désignation d’un</w:t>
      </w:r>
      <w:r w:rsidR="002C2227">
        <w:rPr>
          <w:lang w:val="fr-FR"/>
        </w:rPr>
        <w:t>(e)</w:t>
      </w:r>
      <w:r w:rsidRPr="00475B58">
        <w:rPr>
          <w:lang w:val="fr-FR"/>
        </w:rPr>
        <w:t xml:space="preserve"> </w:t>
      </w:r>
      <w:r>
        <w:rPr>
          <w:lang w:val="fr-FR"/>
        </w:rPr>
        <w:t>consultant</w:t>
      </w:r>
      <w:r w:rsidR="002C2227">
        <w:rPr>
          <w:lang w:val="fr-FR"/>
        </w:rPr>
        <w:t>(e)</w:t>
      </w:r>
      <w:r w:rsidR="002C2227" w:rsidRPr="00475B58">
        <w:rPr>
          <w:lang w:val="fr-FR"/>
        </w:rPr>
        <w:t xml:space="preserve"> </w:t>
      </w:r>
      <w:r w:rsidRPr="00475B58">
        <w:rPr>
          <w:lang w:val="fr-FR"/>
        </w:rPr>
        <w:t>chargé</w:t>
      </w:r>
      <w:r w:rsidR="002C2227">
        <w:rPr>
          <w:lang w:val="fr-FR"/>
        </w:rPr>
        <w:t>(e)</w:t>
      </w:r>
      <w:r>
        <w:rPr>
          <w:lang w:val="fr-FR"/>
        </w:rPr>
        <w:t xml:space="preserve"> </w:t>
      </w:r>
      <w:r w:rsidR="00377009" w:rsidRPr="00377009">
        <w:t xml:space="preserve">de réaliser une analyse stratégique du paysage bailleurs, des secteurs porteurs et des régions prioritaires, en lien avec les Théories du Changement </w:t>
      </w:r>
      <w:r w:rsidR="0040505C">
        <w:t xml:space="preserve">(TOC) </w:t>
      </w:r>
      <w:r w:rsidR="00377009" w:rsidRPr="00377009">
        <w:t>de MdM-BE.</w:t>
      </w:r>
    </w:p>
    <w:p w14:paraId="79461939" w14:textId="77777777" w:rsidR="000115DF" w:rsidRPr="00475B58" w:rsidRDefault="000115DF" w:rsidP="000115DF">
      <w:pPr>
        <w:pStyle w:val="Sansinterligne"/>
        <w:jc w:val="both"/>
        <w:rPr>
          <w:lang w:val="fr-FR"/>
        </w:rPr>
      </w:pPr>
    </w:p>
    <w:p w14:paraId="1142A39F" w14:textId="77777777" w:rsidR="000115DF" w:rsidRDefault="000115DF" w:rsidP="000115DF">
      <w:pPr>
        <w:pStyle w:val="Titre1"/>
        <w:rPr>
          <w:b w:val="0"/>
        </w:rPr>
      </w:pPr>
      <w:r w:rsidRPr="003E46FD">
        <w:t>Contexte de la mission</w:t>
      </w:r>
    </w:p>
    <w:p w14:paraId="448BC907" w14:textId="77777777" w:rsidR="000115DF" w:rsidRPr="00475B58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41ABE936" w14:textId="5263A9B9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475B58">
        <w:rPr>
          <w:lang w:val="fr-FR"/>
        </w:rPr>
        <w:t xml:space="preserve">Médecins du Monde </w:t>
      </w:r>
      <w:r>
        <w:rPr>
          <w:lang w:val="fr-FR"/>
        </w:rPr>
        <w:t xml:space="preserve">Belgique </w:t>
      </w:r>
      <w:r w:rsidRPr="00475B58">
        <w:rPr>
          <w:lang w:val="fr-FR"/>
        </w:rPr>
        <w:t>(MdM-BE) est une ONG internationale de développement médical faisant partie d'un réseau international. L’Organisation v</w:t>
      </w:r>
      <w:r w:rsidR="00DD4157">
        <w:rPr>
          <w:lang w:val="fr-FR"/>
        </w:rPr>
        <w:t>ise</w:t>
      </w:r>
      <w:r w:rsidRPr="00475B58">
        <w:rPr>
          <w:lang w:val="fr-FR"/>
        </w:rPr>
        <w:t xml:space="preserve"> une couverture universelle de santé où chaque personne ait </w:t>
      </w:r>
      <w:r w:rsidR="00DD4157">
        <w:rPr>
          <w:lang w:val="fr-FR"/>
        </w:rPr>
        <w:t xml:space="preserve">un </w:t>
      </w:r>
      <w:r w:rsidRPr="00475B58">
        <w:rPr>
          <w:lang w:val="fr-FR"/>
        </w:rPr>
        <w:t xml:space="preserve">accès </w:t>
      </w:r>
      <w:r w:rsidR="00DD4157">
        <w:rPr>
          <w:lang w:val="fr-FR"/>
        </w:rPr>
        <w:t>effectif au droit à la santé</w:t>
      </w:r>
      <w:r w:rsidRPr="00475B58">
        <w:rPr>
          <w:lang w:val="fr-FR"/>
        </w:rPr>
        <w:t>, sans obstacles (financiers, culturels, géographiques, etc.). Pour mener à bien sa mission, elle se base sur trois piliers : Soigner, Témoigner</w:t>
      </w:r>
      <w:r w:rsidR="00DD4157">
        <w:rPr>
          <w:lang w:val="fr-FR"/>
        </w:rPr>
        <w:t>, Changement sociétal.</w:t>
      </w:r>
      <w:r w:rsidRPr="00475B58">
        <w:rPr>
          <w:lang w:val="fr-FR"/>
        </w:rPr>
        <w:t xml:space="preserve"> </w:t>
      </w:r>
    </w:p>
    <w:p w14:paraId="7B1E8405" w14:textId="77777777" w:rsidR="000115DF" w:rsidRPr="00377009" w:rsidRDefault="000115DF" w:rsidP="000115DF">
      <w:pPr>
        <w:pStyle w:val="Sansinterligne"/>
        <w:spacing w:line="360" w:lineRule="auto"/>
        <w:jc w:val="both"/>
        <w:rPr>
          <w:rFonts w:eastAsiaTheme="majorEastAsia" w:cstheme="majorBidi"/>
          <w:b/>
          <w:color w:val="0065BD"/>
          <w:sz w:val="24"/>
          <w:szCs w:val="24"/>
        </w:rPr>
      </w:pPr>
    </w:p>
    <w:p w14:paraId="5CBBB7FD" w14:textId="77777777" w:rsidR="000115DF" w:rsidRPr="00377009" w:rsidRDefault="000115DF" w:rsidP="000115DF">
      <w:pPr>
        <w:pStyle w:val="Sansinterligne"/>
        <w:spacing w:line="360" w:lineRule="auto"/>
        <w:jc w:val="both"/>
        <w:rPr>
          <w:rFonts w:eastAsiaTheme="majorEastAsia" w:cstheme="majorBidi"/>
          <w:b/>
          <w:color w:val="0065BD"/>
          <w:sz w:val="24"/>
          <w:szCs w:val="24"/>
        </w:rPr>
      </w:pPr>
      <w:r w:rsidRPr="00377009">
        <w:rPr>
          <w:rFonts w:eastAsiaTheme="majorEastAsia" w:cstheme="majorBidi"/>
          <w:b/>
          <w:color w:val="0065BD"/>
          <w:sz w:val="24"/>
          <w:szCs w:val="24"/>
        </w:rPr>
        <w:t xml:space="preserve">Description du projet en lien avec la demande de consultance. </w:t>
      </w:r>
    </w:p>
    <w:p w14:paraId="15674273" w14:textId="6FAD7BB8" w:rsidR="000115DF" w:rsidRPr="00E25FEB" w:rsidRDefault="00814299" w:rsidP="00E25FEB">
      <w:pPr>
        <w:pStyle w:val="Sansinterligne"/>
        <w:spacing w:line="360" w:lineRule="auto"/>
        <w:jc w:val="both"/>
        <w:rPr>
          <w:lang w:val="fr-FR"/>
        </w:rPr>
      </w:pPr>
      <w:r w:rsidRPr="00E25FEB">
        <w:rPr>
          <w:lang w:val="fr-FR"/>
        </w:rPr>
        <w:t xml:space="preserve">Dans une perspective de formuler une analyse stratégique du paysage bailleurs, une matrice TOC-bailleurs et une politique de cofinancement structurée, MdM-BE cherche un(e) consultant(e) </w:t>
      </w:r>
      <w:r w:rsidR="00DD4157">
        <w:rPr>
          <w:lang w:val="fr-FR"/>
        </w:rPr>
        <w:t xml:space="preserve">externe </w:t>
      </w:r>
      <w:r w:rsidRPr="00E25FEB">
        <w:rPr>
          <w:lang w:val="fr-FR"/>
        </w:rPr>
        <w:t xml:space="preserve">pour une mission d’analyse </w:t>
      </w:r>
      <w:r w:rsidR="00DA4752">
        <w:rPr>
          <w:lang w:val="fr-FR"/>
        </w:rPr>
        <w:t xml:space="preserve">bailleurs </w:t>
      </w:r>
      <w:r w:rsidRPr="00E25FEB">
        <w:rPr>
          <w:lang w:val="fr-FR"/>
        </w:rPr>
        <w:t>croisée avec</w:t>
      </w:r>
      <w:r w:rsidR="0040505C">
        <w:rPr>
          <w:lang w:val="fr-FR"/>
        </w:rPr>
        <w:t xml:space="preserve"> s</w:t>
      </w:r>
      <w:r w:rsidRPr="00E25FEB">
        <w:rPr>
          <w:lang w:val="fr-FR"/>
        </w:rPr>
        <w:t xml:space="preserve">es </w:t>
      </w:r>
      <w:r w:rsidR="0040505C">
        <w:rPr>
          <w:lang w:val="fr-FR"/>
        </w:rPr>
        <w:t xml:space="preserve">TOC </w:t>
      </w:r>
      <w:r w:rsidR="00DD4157">
        <w:rPr>
          <w:lang w:val="fr-FR"/>
        </w:rPr>
        <w:t>par thématique,</w:t>
      </w:r>
      <w:r w:rsidRPr="00E25FEB">
        <w:rPr>
          <w:lang w:val="fr-FR"/>
        </w:rPr>
        <w:t xml:space="preserve"> avec un focus particulier sur la localisation et le cofinancement.</w:t>
      </w:r>
    </w:p>
    <w:p w14:paraId="62546E91" w14:textId="77777777" w:rsidR="00814299" w:rsidRPr="00475B58" w:rsidRDefault="00814299" w:rsidP="000115DF">
      <w:pPr>
        <w:pStyle w:val="Sansinterligne"/>
        <w:jc w:val="both"/>
        <w:rPr>
          <w:lang w:val="fr-FR"/>
        </w:rPr>
      </w:pPr>
    </w:p>
    <w:p w14:paraId="2CEA038C" w14:textId="222C1B20" w:rsidR="000115DF" w:rsidRDefault="000115DF" w:rsidP="00E25FEB">
      <w:pPr>
        <w:pStyle w:val="Titre1"/>
      </w:pPr>
      <w:r w:rsidRPr="003E46FD">
        <w:t>Description de la mission</w:t>
      </w:r>
    </w:p>
    <w:p w14:paraId="15850E36" w14:textId="77777777" w:rsidR="00E25FEB" w:rsidRPr="00E25FEB" w:rsidRDefault="00E25FEB" w:rsidP="00E25FEB"/>
    <w:p w14:paraId="6CA104F3" w14:textId="5401F39D" w:rsidR="00814299" w:rsidRPr="00814299" w:rsidRDefault="00814299" w:rsidP="00814299">
      <w:pPr>
        <w:pStyle w:val="Sansinterligne"/>
        <w:spacing w:line="360" w:lineRule="auto"/>
        <w:jc w:val="both"/>
      </w:pPr>
      <w:r w:rsidRPr="00814299">
        <w:rPr>
          <w:b/>
          <w:bCs/>
        </w:rPr>
        <w:t>Le principal objectif de la mission de consultance est de</w:t>
      </w:r>
      <w:r w:rsidRPr="00814299">
        <w:t xml:space="preserve"> fournir une cartographie actualisée et stratégique du paysage bailleurs, en lien avec les priorités de MdM-BE, et de proposer des outils concrets pour guider </w:t>
      </w:r>
      <w:r w:rsidR="00DA4752">
        <w:t>une stratégie de financement adaptée à sa vision et sa mission.</w:t>
      </w:r>
    </w:p>
    <w:p w14:paraId="7847C54D" w14:textId="77777777" w:rsidR="00814299" w:rsidRPr="00814299" w:rsidRDefault="00814299" w:rsidP="00814299">
      <w:pPr>
        <w:pStyle w:val="Sansinterligne"/>
        <w:spacing w:line="360" w:lineRule="auto"/>
        <w:jc w:val="both"/>
      </w:pPr>
      <w:r w:rsidRPr="00814299">
        <w:rPr>
          <w:b/>
          <w:bCs/>
        </w:rPr>
        <w:t>Les tâches et responsabilités essentielles de la mission de consultance consistent à</w:t>
      </w:r>
      <w:r w:rsidRPr="00814299">
        <w:t xml:space="preserve"> :</w:t>
      </w:r>
    </w:p>
    <w:p w14:paraId="746911E2" w14:textId="77777777" w:rsidR="00814299" w:rsidRDefault="00814299" w:rsidP="00814299">
      <w:pPr>
        <w:pStyle w:val="Sansinterligne"/>
        <w:numPr>
          <w:ilvl w:val="0"/>
          <w:numId w:val="11"/>
        </w:numPr>
        <w:spacing w:line="360" w:lineRule="auto"/>
        <w:jc w:val="both"/>
      </w:pPr>
      <w:r w:rsidRPr="00814299">
        <w:t>Réaliser une cartographie des bailleurs pertinents (institutionnels, privés, fondations) selon leur orientation thématique et géographique ;</w:t>
      </w:r>
    </w:p>
    <w:p w14:paraId="5378B15F" w14:textId="0B8CB4B1" w:rsidR="00D260D6" w:rsidRPr="00814299" w:rsidRDefault="00814299" w:rsidP="00D260D6">
      <w:pPr>
        <w:pStyle w:val="Sansinterligne"/>
        <w:numPr>
          <w:ilvl w:val="0"/>
          <w:numId w:val="11"/>
        </w:numPr>
        <w:spacing w:line="360" w:lineRule="auto"/>
        <w:jc w:val="both"/>
      </w:pPr>
      <w:r w:rsidRPr="00814299">
        <w:t xml:space="preserve">Analyser ces bailleurs à </w:t>
      </w:r>
      <w:r w:rsidR="00DA4752">
        <w:t xml:space="preserve">la lumière </w:t>
      </w:r>
      <w:r w:rsidRPr="00814299">
        <w:t xml:space="preserve">des cinq Théories du Changement </w:t>
      </w:r>
      <w:r w:rsidR="00D260D6">
        <w:t>et des positionnement éthiques de Médecins du Monde ;</w:t>
      </w:r>
    </w:p>
    <w:p w14:paraId="12E5B1B6" w14:textId="77777777" w:rsidR="00814299" w:rsidRPr="00814299" w:rsidRDefault="00814299" w:rsidP="00814299">
      <w:pPr>
        <w:pStyle w:val="Sansinterligne"/>
        <w:numPr>
          <w:ilvl w:val="0"/>
          <w:numId w:val="11"/>
        </w:numPr>
        <w:spacing w:line="360" w:lineRule="auto"/>
        <w:jc w:val="both"/>
      </w:pPr>
      <w:r w:rsidRPr="00814299">
        <w:t>Identifier les opportunités de cofinancement cohérentes avec les engagements de MdM-BE en matière de localisation ;</w:t>
      </w:r>
    </w:p>
    <w:p w14:paraId="10DF5C2D" w14:textId="77777777" w:rsidR="00814299" w:rsidRPr="00814299" w:rsidRDefault="00814299" w:rsidP="00814299">
      <w:pPr>
        <w:pStyle w:val="Sansinterligne"/>
        <w:numPr>
          <w:ilvl w:val="0"/>
          <w:numId w:val="11"/>
        </w:numPr>
        <w:spacing w:line="360" w:lineRule="auto"/>
        <w:jc w:val="both"/>
      </w:pPr>
      <w:r w:rsidRPr="00814299">
        <w:t>Élaborer une matrice TOC-bailleurs permettant une visualisation stratégique ;</w:t>
      </w:r>
    </w:p>
    <w:p w14:paraId="1EE052BB" w14:textId="77777777" w:rsidR="00814299" w:rsidRPr="00814299" w:rsidRDefault="00814299" w:rsidP="00814299">
      <w:pPr>
        <w:pStyle w:val="Sansinterligne"/>
        <w:numPr>
          <w:ilvl w:val="0"/>
          <w:numId w:val="11"/>
        </w:numPr>
        <w:spacing w:line="360" w:lineRule="auto"/>
        <w:jc w:val="both"/>
      </w:pPr>
      <w:r w:rsidRPr="00814299">
        <w:lastRenderedPageBreak/>
        <w:t>Produire une note synthétique regroupant les principaux résultats et recommandations.</w:t>
      </w:r>
    </w:p>
    <w:p w14:paraId="1DAD2FE9" w14:textId="77777777" w:rsidR="005E0682" w:rsidRDefault="005E0682" w:rsidP="00814299">
      <w:pPr>
        <w:pStyle w:val="Sansinterligne"/>
        <w:spacing w:line="360" w:lineRule="auto"/>
        <w:jc w:val="both"/>
        <w:rPr>
          <w:b/>
          <w:bCs/>
        </w:rPr>
      </w:pPr>
    </w:p>
    <w:p w14:paraId="1ED296F8" w14:textId="755D62C0" w:rsidR="00814299" w:rsidRPr="00814299" w:rsidRDefault="00814299" w:rsidP="00814299">
      <w:pPr>
        <w:pStyle w:val="Sansinterligne"/>
        <w:spacing w:line="360" w:lineRule="auto"/>
        <w:jc w:val="both"/>
      </w:pPr>
      <w:r w:rsidRPr="00814299">
        <w:rPr>
          <w:b/>
          <w:bCs/>
        </w:rPr>
        <w:t>Afin de mener à bien cette mission, MdM-BE recherche des candidats ayant un profil de</w:t>
      </w:r>
      <w:r w:rsidRPr="00814299">
        <w:t xml:space="preserve"> consultant(e) senior en stratégie de financement et en coopération internationale, ayant une expérience en mobilisation de fonds dans le secteur des ONG, analyse de bailleurs, gestion partenariale, cofinancement et approche localisation/décolonisation</w:t>
      </w:r>
      <w:r w:rsidR="00DA4752">
        <w:t xml:space="preserve"> de l’aide</w:t>
      </w:r>
      <w:r w:rsidRPr="00814299">
        <w:t>.</w:t>
      </w:r>
    </w:p>
    <w:p w14:paraId="0FF66311" w14:textId="77777777" w:rsidR="00814299" w:rsidRPr="00814299" w:rsidRDefault="00814299" w:rsidP="00814299">
      <w:pPr>
        <w:pStyle w:val="Sansinterligne"/>
        <w:spacing w:line="360" w:lineRule="auto"/>
        <w:jc w:val="both"/>
      </w:pPr>
      <w:r w:rsidRPr="00814299">
        <w:t>MdM-BE souhaite attirer l’attention du soumissionnaire sur le fait que :</w:t>
      </w:r>
    </w:p>
    <w:p w14:paraId="7A4334C6" w14:textId="50DD975C" w:rsidR="00814299" w:rsidRPr="00814299" w:rsidRDefault="00814299" w:rsidP="00814299">
      <w:pPr>
        <w:pStyle w:val="Sansinterligne"/>
        <w:numPr>
          <w:ilvl w:val="0"/>
          <w:numId w:val="12"/>
        </w:numPr>
        <w:spacing w:line="360" w:lineRule="auto"/>
        <w:jc w:val="both"/>
      </w:pPr>
      <w:r w:rsidRPr="00814299">
        <w:rPr>
          <w:b/>
          <w:bCs/>
        </w:rPr>
        <w:t>Les prestations seront exécutées à</w:t>
      </w:r>
      <w:r w:rsidRPr="00814299">
        <w:t xml:space="preserve"> distance, avec participation ponctuelle à des réunions virtuelles</w:t>
      </w:r>
      <w:r w:rsidR="005E0682">
        <w:t xml:space="preserve"> (ou présentielles à Bruxelles)</w:t>
      </w:r>
      <w:r w:rsidRPr="00814299">
        <w:t xml:space="preserve"> avec les équipes internes de MdM-BE;</w:t>
      </w:r>
    </w:p>
    <w:p w14:paraId="6100383C" w14:textId="0E21141A" w:rsidR="000115DF" w:rsidRPr="00344C18" w:rsidRDefault="00814299" w:rsidP="009373D4">
      <w:pPr>
        <w:pStyle w:val="Sansinterligne"/>
        <w:numPr>
          <w:ilvl w:val="0"/>
          <w:numId w:val="12"/>
        </w:numPr>
        <w:spacing w:line="360" w:lineRule="auto"/>
        <w:jc w:val="both"/>
      </w:pPr>
      <w:r w:rsidRPr="00344C18">
        <w:rPr>
          <w:b/>
          <w:bCs/>
        </w:rPr>
        <w:t>Le budget pour la mission est évalué à</w:t>
      </w:r>
      <w:r w:rsidRPr="00344C18">
        <w:t xml:space="preserve"> </w:t>
      </w:r>
      <w:r w:rsidR="00360259" w:rsidRPr="00344C18">
        <w:t>9</w:t>
      </w:r>
      <w:r w:rsidRPr="00344C18">
        <w:t>.000 EUR TVAC (prix global, incluant honoraires, frais logistiques et de coordination).</w:t>
      </w:r>
    </w:p>
    <w:p w14:paraId="607A491C" w14:textId="77777777" w:rsidR="000115DF" w:rsidRPr="009303C6" w:rsidRDefault="000115DF" w:rsidP="000115DF">
      <w:pPr>
        <w:pStyle w:val="Sansinterligne"/>
        <w:jc w:val="both"/>
        <w:rPr>
          <w:lang w:val="fr-FR"/>
        </w:rPr>
      </w:pPr>
    </w:p>
    <w:p w14:paraId="4E53A5EA" w14:textId="2EAD3F61" w:rsidR="000115DF" w:rsidRDefault="000115DF" w:rsidP="000115DF">
      <w:pPr>
        <w:pStyle w:val="Titre1"/>
      </w:pPr>
      <w:r>
        <w:t xml:space="preserve">Informations supplémentaires sur le projet sur lequel le consultant sera affecté </w:t>
      </w:r>
    </w:p>
    <w:p w14:paraId="706ECCE8" w14:textId="77777777" w:rsidR="00E25FEB" w:rsidRPr="00DD4157" w:rsidRDefault="00E25FEB" w:rsidP="00E25FEB">
      <w:pPr>
        <w:pStyle w:val="Titre1"/>
        <w:rPr>
          <w:rFonts w:eastAsiaTheme="minorHAnsi" w:cstheme="minorBidi"/>
          <w:bCs/>
          <w:color w:val="auto"/>
          <w:sz w:val="22"/>
          <w:szCs w:val="22"/>
        </w:rPr>
      </w:pPr>
    </w:p>
    <w:p w14:paraId="0F914D85" w14:textId="113319BB" w:rsidR="00E25FEB" w:rsidRPr="00DD4157" w:rsidRDefault="00E25FEB" w:rsidP="009F1B76">
      <w:pPr>
        <w:pStyle w:val="Sansinterligne"/>
        <w:numPr>
          <w:ilvl w:val="0"/>
          <w:numId w:val="12"/>
        </w:numPr>
        <w:spacing w:line="360" w:lineRule="auto"/>
        <w:jc w:val="both"/>
        <w:rPr>
          <w:lang w:val="en-US"/>
        </w:rPr>
      </w:pPr>
      <w:proofErr w:type="spellStart"/>
      <w:r w:rsidRPr="00DD4157">
        <w:rPr>
          <w:b/>
          <w:bCs/>
          <w:lang w:val="en-US"/>
        </w:rPr>
        <w:t>Titre</w:t>
      </w:r>
      <w:proofErr w:type="spellEnd"/>
      <w:r w:rsidRPr="00DD4157">
        <w:rPr>
          <w:b/>
          <w:bCs/>
          <w:lang w:val="en-US"/>
        </w:rPr>
        <w:t xml:space="preserve"> du projet : </w:t>
      </w:r>
      <w:r w:rsidRPr="00DD4157">
        <w:rPr>
          <w:lang w:val="en-US"/>
        </w:rPr>
        <w:t>Aligning Identity &amp; Strategy: A Roadmap for Sustainable &amp; Locally-Led Development</w:t>
      </w:r>
    </w:p>
    <w:p w14:paraId="42A5EF37" w14:textId="1088FC59" w:rsidR="00E25FEB" w:rsidRPr="005E0682" w:rsidRDefault="00E25FEB" w:rsidP="009F1B76">
      <w:pPr>
        <w:pStyle w:val="Sansinterligne"/>
        <w:numPr>
          <w:ilvl w:val="0"/>
          <w:numId w:val="12"/>
        </w:numPr>
        <w:spacing w:line="360" w:lineRule="auto"/>
        <w:jc w:val="both"/>
      </w:pPr>
      <w:r w:rsidRPr="005E0682">
        <w:rPr>
          <w:b/>
          <w:bCs/>
        </w:rPr>
        <w:t xml:space="preserve">Durée de l’implémentation : </w:t>
      </w:r>
      <w:r w:rsidRPr="005E0682">
        <w:t>ju</w:t>
      </w:r>
      <w:r w:rsidR="00360259">
        <w:t>illet</w:t>
      </w:r>
      <w:r w:rsidRPr="005E0682">
        <w:t xml:space="preserve"> 2025 – </w:t>
      </w:r>
      <w:r w:rsidR="005E0682">
        <w:t xml:space="preserve">octobre </w:t>
      </w:r>
      <w:r w:rsidRPr="005E0682">
        <w:t>202</w:t>
      </w:r>
      <w:r w:rsidR="005E0682">
        <w:t>5</w:t>
      </w:r>
    </w:p>
    <w:p w14:paraId="5D562849" w14:textId="77777777" w:rsidR="005E0682" w:rsidRPr="005E0682" w:rsidRDefault="00E25FEB" w:rsidP="009F1B76">
      <w:pPr>
        <w:pStyle w:val="Sansinterligne"/>
        <w:numPr>
          <w:ilvl w:val="0"/>
          <w:numId w:val="12"/>
        </w:numPr>
        <w:spacing w:line="360" w:lineRule="auto"/>
        <w:jc w:val="both"/>
      </w:pPr>
      <w:r w:rsidRPr="005E0682">
        <w:rPr>
          <w:b/>
          <w:bCs/>
        </w:rPr>
        <w:t>Personne(s) responsable(s) :</w:t>
      </w:r>
    </w:p>
    <w:p w14:paraId="74974A82" w14:textId="69EDA815" w:rsidR="00E25FEB" w:rsidRPr="005E0682" w:rsidRDefault="00E25FEB" w:rsidP="009F1B76">
      <w:pPr>
        <w:pStyle w:val="Sansinterligne"/>
        <w:spacing w:line="360" w:lineRule="auto"/>
        <w:ind w:left="720"/>
        <w:jc w:val="both"/>
      </w:pPr>
      <w:r w:rsidRPr="005E0682">
        <w:t>Alessia Galdieri, Responsable Fonds institutionnels et partenariats stratégiques</w:t>
      </w:r>
    </w:p>
    <w:p w14:paraId="3BF00730" w14:textId="1B808348" w:rsidR="00E25FEB" w:rsidRPr="005E0682" w:rsidRDefault="00E25FEB" w:rsidP="009F1B76">
      <w:pPr>
        <w:pStyle w:val="Sansinterligne"/>
        <w:spacing w:line="360" w:lineRule="auto"/>
        <w:ind w:left="720"/>
        <w:jc w:val="both"/>
      </w:pPr>
      <w:r w:rsidRPr="005E0682">
        <w:t>Unité Grants &amp; Partnerships</w:t>
      </w:r>
    </w:p>
    <w:p w14:paraId="2906AC6A" w14:textId="02800A27" w:rsidR="00E25FEB" w:rsidRPr="005E0682" w:rsidRDefault="00E25FEB" w:rsidP="009F1B76">
      <w:pPr>
        <w:pStyle w:val="Sansinterligne"/>
        <w:spacing w:line="360" w:lineRule="auto"/>
        <w:ind w:left="720"/>
        <w:jc w:val="both"/>
      </w:pPr>
      <w:r w:rsidRPr="005E0682">
        <w:t>Direction des Opérations Internationales (DOI)</w:t>
      </w:r>
    </w:p>
    <w:p w14:paraId="4CA50BD2" w14:textId="094540D7" w:rsidR="00E25FEB" w:rsidRDefault="004B43AE" w:rsidP="009F1B76">
      <w:pPr>
        <w:pStyle w:val="Sansinterligne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E25FEB">
        <w:rPr>
          <w:b/>
          <w:bCs/>
        </w:rPr>
        <w:t>Activité</w:t>
      </w:r>
      <w:r w:rsidR="00E25FEB" w:rsidRPr="00E25FEB">
        <w:rPr>
          <w:b/>
          <w:bCs/>
        </w:rPr>
        <w:t xml:space="preserve"> du consultant : </w:t>
      </w:r>
      <w:r w:rsidR="00E25FEB">
        <w:rPr>
          <w:b/>
          <w:bCs/>
        </w:rPr>
        <w:t xml:space="preserve"> </w:t>
      </w:r>
    </w:p>
    <w:p w14:paraId="0447B644" w14:textId="014B4FBC" w:rsidR="005E0682" w:rsidRDefault="00E25FEB" w:rsidP="009F1B76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E25FEB">
        <w:t>Réaliser une cartographie stratégique et actualisée du paysage des bailleurs pertinents pour MdM-BE</w:t>
      </w:r>
      <w:r w:rsidR="005E0682">
        <w:t>, c</w:t>
      </w:r>
      <w:r w:rsidR="004B43AE">
        <w:t>e</w:t>
      </w:r>
      <w:r w:rsidR="005E0682">
        <w:t xml:space="preserve"> livrable </w:t>
      </w:r>
      <w:r w:rsidR="004B43AE">
        <w:t>doit :</w:t>
      </w:r>
    </w:p>
    <w:p w14:paraId="62626B59" w14:textId="2677010B" w:rsidR="005E0682" w:rsidRDefault="00E25FEB" w:rsidP="009F1B76">
      <w:pPr>
        <w:pStyle w:val="Paragraphedeliste"/>
        <w:numPr>
          <w:ilvl w:val="0"/>
          <w:numId w:val="15"/>
        </w:numPr>
        <w:spacing w:line="360" w:lineRule="auto"/>
        <w:jc w:val="both"/>
      </w:pPr>
      <w:r w:rsidRPr="00E25FEB">
        <w:t>Identi</w:t>
      </w:r>
      <w:r w:rsidR="005E0682">
        <w:t>fier</w:t>
      </w:r>
      <w:r w:rsidRPr="00E25FEB">
        <w:t xml:space="preserve"> </w:t>
      </w:r>
      <w:r w:rsidR="005E0682">
        <w:t>d</w:t>
      </w:r>
      <w:r w:rsidRPr="00E25FEB">
        <w:t>es opportunités de financement et de cofinancement alignées avec les cinq TOC de l'organisation</w:t>
      </w:r>
      <w:r w:rsidR="009F1B76">
        <w:t xml:space="preserve"> et son</w:t>
      </w:r>
      <w:r w:rsidR="00D260D6">
        <w:t xml:space="preserve"> positionnement</w:t>
      </w:r>
      <w:r w:rsidR="009F1B76">
        <w:t xml:space="preserve"> éthique</w:t>
      </w:r>
      <w:r w:rsidRPr="00E25FEB">
        <w:t>.</w:t>
      </w:r>
    </w:p>
    <w:p w14:paraId="7170B944" w14:textId="0BA1A7DE" w:rsidR="005E0682" w:rsidRDefault="005E0682" w:rsidP="009F1B76">
      <w:pPr>
        <w:pStyle w:val="Paragraphedeliste"/>
        <w:numPr>
          <w:ilvl w:val="0"/>
          <w:numId w:val="15"/>
        </w:numPr>
        <w:spacing w:line="360" w:lineRule="auto"/>
        <w:jc w:val="both"/>
      </w:pPr>
      <w:r w:rsidRPr="00E25FEB">
        <w:t>Rép</w:t>
      </w:r>
      <w:r>
        <w:t>ertori</w:t>
      </w:r>
      <w:r w:rsidR="009F1B76">
        <w:t>er</w:t>
      </w:r>
      <w:r>
        <w:t xml:space="preserve"> d</w:t>
      </w:r>
      <w:r w:rsidR="00E25FEB" w:rsidRPr="00E25FEB">
        <w:t>es secteurs thématiques porteurs pour les bailleurs (santé, genre, climat, migration, nexus, etc.) et analyser leur</w:t>
      </w:r>
      <w:r w:rsidR="009F1B76">
        <w:t>s</w:t>
      </w:r>
      <w:r w:rsidR="00E25FEB" w:rsidRPr="00E25FEB">
        <w:t xml:space="preserve"> convergence</w:t>
      </w:r>
      <w:r w:rsidR="009F1B76">
        <w:t>s</w:t>
      </w:r>
      <w:r w:rsidR="00E25FEB" w:rsidRPr="00E25FEB">
        <w:t xml:space="preserve"> avec les priorités stratégiques de MdM-BE.</w:t>
      </w:r>
    </w:p>
    <w:p w14:paraId="25DB1FB4" w14:textId="45052532" w:rsidR="00E25FEB" w:rsidRDefault="00E25FEB" w:rsidP="009F1B76">
      <w:pPr>
        <w:pStyle w:val="Paragraphedeliste"/>
        <w:numPr>
          <w:ilvl w:val="0"/>
          <w:numId w:val="15"/>
        </w:numPr>
        <w:spacing w:line="360" w:lineRule="auto"/>
        <w:jc w:val="both"/>
      </w:pPr>
      <w:r w:rsidRPr="00E25FEB">
        <w:t>Croiser cette lecture avec les régions prioritaires d’intervention de MdM-BE (Sahel, Grands Lacs, MENA, Balkans), afin d’identifier des opportunités géographiquement pertinentes.</w:t>
      </w:r>
    </w:p>
    <w:p w14:paraId="6E5CBE9D" w14:textId="61C75E7E" w:rsidR="005E0682" w:rsidRDefault="005E0682" w:rsidP="009F1B76">
      <w:pPr>
        <w:pStyle w:val="Paragraphedeliste"/>
        <w:numPr>
          <w:ilvl w:val="0"/>
          <w:numId w:val="15"/>
        </w:numPr>
        <w:spacing w:line="360" w:lineRule="auto"/>
        <w:jc w:val="both"/>
      </w:pPr>
      <w:r>
        <w:lastRenderedPageBreak/>
        <w:t xml:space="preserve">Suggérer </w:t>
      </w:r>
      <w:r w:rsidR="009F1B76">
        <w:t xml:space="preserve">une </w:t>
      </w:r>
      <w:r w:rsidR="009E25E1">
        <w:t xml:space="preserve">méthode de recherche de financement permettant de </w:t>
      </w:r>
      <w:r>
        <w:t xml:space="preserve">renforcer </w:t>
      </w:r>
      <w:r w:rsidR="009E25E1">
        <w:t xml:space="preserve"> l’approche</w:t>
      </w:r>
      <w:r>
        <w:t xml:space="preserve"> partenaria</w:t>
      </w:r>
      <w:r w:rsidR="009E25E1">
        <w:t>le</w:t>
      </w:r>
      <w:r>
        <w:t xml:space="preserve"> et </w:t>
      </w:r>
      <w:r w:rsidR="009E25E1">
        <w:t xml:space="preserve">de </w:t>
      </w:r>
      <w:r>
        <w:t>localisation de l’organisation</w:t>
      </w:r>
    </w:p>
    <w:p w14:paraId="38E52E34" w14:textId="112A779D" w:rsidR="005E0682" w:rsidRDefault="005E0682" w:rsidP="009F1B76">
      <w:pPr>
        <w:pStyle w:val="Paragraphedeliste"/>
        <w:numPr>
          <w:ilvl w:val="0"/>
          <w:numId w:val="14"/>
        </w:numPr>
        <w:spacing w:line="360" w:lineRule="auto"/>
        <w:jc w:val="both"/>
      </w:pPr>
      <w:r>
        <w:t>Suggérer des outils pour l</w:t>
      </w:r>
      <w:r w:rsidR="00827ABC">
        <w:t>’opérationnalisation de la cartographie.</w:t>
      </w:r>
    </w:p>
    <w:p w14:paraId="714071F4" w14:textId="4544BFB9" w:rsidR="00675558" w:rsidRDefault="009E25E1" w:rsidP="009F1B76">
      <w:pPr>
        <w:pStyle w:val="Paragraphedeliste"/>
        <w:numPr>
          <w:ilvl w:val="0"/>
          <w:numId w:val="14"/>
        </w:numPr>
        <w:spacing w:line="360" w:lineRule="auto"/>
        <w:jc w:val="both"/>
      </w:pPr>
      <w:r>
        <w:t>Définir</w:t>
      </w:r>
      <w:r w:rsidR="00675558">
        <w:t xml:space="preserve"> des critères d’évaluation</w:t>
      </w:r>
      <w:r>
        <w:t xml:space="preserve"> </w:t>
      </w:r>
      <w:r w:rsidR="00675558">
        <w:t xml:space="preserve">des bailleurs </w:t>
      </w:r>
      <w:r>
        <w:t>intégrant</w:t>
      </w:r>
      <w:r w:rsidR="00675558">
        <w:t xml:space="preserve"> des aspects éthiques</w:t>
      </w:r>
      <w:r w:rsidR="00952959">
        <w:t>.</w:t>
      </w:r>
    </w:p>
    <w:p w14:paraId="0DE0A826" w14:textId="2C393082" w:rsidR="000115DF" w:rsidRPr="003E46FD" w:rsidRDefault="000115DF" w:rsidP="000115DF">
      <w:pPr>
        <w:pStyle w:val="Titre1"/>
        <w:rPr>
          <w:b w:val="0"/>
        </w:rPr>
      </w:pPr>
      <w:r w:rsidRPr="003E46FD">
        <w:t>Planning de la mission</w:t>
      </w:r>
    </w:p>
    <w:p w14:paraId="7E9F7093" w14:textId="77777777" w:rsidR="000115DF" w:rsidRPr="009303C6" w:rsidRDefault="000115DF" w:rsidP="000115DF">
      <w:pPr>
        <w:pStyle w:val="Sansinterligne"/>
        <w:spacing w:line="360" w:lineRule="auto"/>
        <w:jc w:val="both"/>
      </w:pPr>
    </w:p>
    <w:p w14:paraId="45AEAF23" w14:textId="50DADF8B" w:rsidR="000115DF" w:rsidRPr="00377009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377009">
        <w:rPr>
          <w:lang w:val="fr-FR"/>
        </w:rPr>
        <w:t xml:space="preserve">Les prestations seront exécutées au cours de la période du </w:t>
      </w:r>
      <w:r w:rsidR="00E25FEB" w:rsidRPr="00377009">
        <w:rPr>
          <w:b/>
          <w:lang w:val="fr-FR"/>
        </w:rPr>
        <w:t>15</w:t>
      </w:r>
      <w:r w:rsidRPr="00377009">
        <w:rPr>
          <w:b/>
          <w:lang w:val="fr-FR"/>
        </w:rPr>
        <w:t>/</w:t>
      </w:r>
      <w:r w:rsidR="00E25FEB" w:rsidRPr="00377009">
        <w:rPr>
          <w:b/>
          <w:lang w:val="fr-FR"/>
        </w:rPr>
        <w:t>07</w:t>
      </w:r>
      <w:r w:rsidRPr="00377009">
        <w:rPr>
          <w:b/>
          <w:lang w:val="fr-FR"/>
        </w:rPr>
        <w:t>/</w:t>
      </w:r>
      <w:r w:rsidR="00E25FEB" w:rsidRPr="00377009">
        <w:rPr>
          <w:b/>
          <w:lang w:val="fr-FR"/>
        </w:rPr>
        <w:t>2025</w:t>
      </w:r>
      <w:r w:rsidRPr="00377009">
        <w:rPr>
          <w:lang w:val="fr-FR"/>
        </w:rPr>
        <w:t xml:space="preserve"> au </w:t>
      </w:r>
      <w:r w:rsidR="00E25FEB" w:rsidRPr="00377009">
        <w:rPr>
          <w:b/>
          <w:lang w:val="fr-FR"/>
        </w:rPr>
        <w:t>30</w:t>
      </w:r>
      <w:r w:rsidRPr="00377009">
        <w:rPr>
          <w:b/>
          <w:lang w:val="fr-FR"/>
        </w:rPr>
        <w:t>/</w:t>
      </w:r>
      <w:r w:rsidR="00E25FEB" w:rsidRPr="00377009">
        <w:rPr>
          <w:b/>
          <w:lang w:val="fr-FR"/>
        </w:rPr>
        <w:t>10</w:t>
      </w:r>
      <w:r w:rsidRPr="00377009">
        <w:rPr>
          <w:b/>
          <w:lang w:val="fr-FR"/>
        </w:rPr>
        <w:t>/</w:t>
      </w:r>
      <w:r w:rsidR="00E25FEB" w:rsidRPr="00377009">
        <w:rPr>
          <w:b/>
          <w:lang w:val="fr-FR"/>
        </w:rPr>
        <w:t>2025</w:t>
      </w:r>
      <w:r w:rsidRPr="00377009">
        <w:rPr>
          <w:lang w:val="fr-FR"/>
        </w:rPr>
        <w:t xml:space="preserve"> et </w:t>
      </w:r>
      <w:r w:rsidR="002C2227" w:rsidRPr="00377009">
        <w:rPr>
          <w:lang w:val="fr-FR"/>
        </w:rPr>
        <w:t>les livrables</w:t>
      </w:r>
      <w:r w:rsidRPr="00377009">
        <w:rPr>
          <w:lang w:val="fr-FR"/>
        </w:rPr>
        <w:t xml:space="preserve"> </w:t>
      </w:r>
      <w:r w:rsidR="002C2227" w:rsidRPr="00377009">
        <w:rPr>
          <w:lang w:val="fr-FR"/>
        </w:rPr>
        <w:t>devront</w:t>
      </w:r>
      <w:r w:rsidRPr="00377009">
        <w:rPr>
          <w:lang w:val="fr-FR"/>
        </w:rPr>
        <w:t xml:space="preserve"> être soumis au plus tard le </w:t>
      </w:r>
      <w:r w:rsidR="00E25FEB" w:rsidRPr="00377009">
        <w:rPr>
          <w:b/>
          <w:lang w:val="fr-FR"/>
        </w:rPr>
        <w:t>15/10/2025</w:t>
      </w:r>
      <w:r w:rsidR="00360259">
        <w:rPr>
          <w:b/>
          <w:lang w:val="fr-FR"/>
        </w:rPr>
        <w:t xml:space="preserve"> (dates à revoir selon le timing du consultant)</w:t>
      </w:r>
      <w:r w:rsidRPr="00377009">
        <w:rPr>
          <w:lang w:val="fr-FR"/>
        </w:rPr>
        <w:t>.</w:t>
      </w:r>
    </w:p>
    <w:p w14:paraId="5981B5BE" w14:textId="77777777" w:rsidR="000115DF" w:rsidRPr="009303C6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602626AB" w14:textId="77777777" w:rsidR="000115DF" w:rsidRPr="003E46FD" w:rsidRDefault="000115DF" w:rsidP="000115DF">
      <w:pPr>
        <w:pStyle w:val="Titre1"/>
        <w:rPr>
          <w:b w:val="0"/>
        </w:rPr>
      </w:pPr>
      <w:r w:rsidRPr="003E46FD">
        <w:t>Personne</w:t>
      </w:r>
      <w:r>
        <w:t>s</w:t>
      </w:r>
      <w:r w:rsidRPr="003E46FD">
        <w:t xml:space="preserve"> de contact</w:t>
      </w:r>
      <w:r>
        <w:t xml:space="preserve"> pour l’offre de consultance</w:t>
      </w:r>
    </w:p>
    <w:p w14:paraId="32A6567F" w14:textId="77777777" w:rsidR="000115DF" w:rsidRPr="009303C6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325120F3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9303C6">
        <w:rPr>
          <w:lang w:val="fr-FR"/>
        </w:rPr>
        <w:t xml:space="preserve">Les dossiers de candidature doivent parvenir par email à l’adresse suivantes : </w:t>
      </w:r>
      <w:r>
        <w:rPr>
          <w:lang w:val="fr-FR"/>
        </w:rPr>
        <w:t xml:space="preserve"> </w:t>
      </w:r>
    </w:p>
    <w:p w14:paraId="6D69E9CF" w14:textId="5F61FDBE" w:rsidR="000115DF" w:rsidRPr="00377009" w:rsidRDefault="000115DF" w:rsidP="000115DF">
      <w:pPr>
        <w:pStyle w:val="Sansinterligne"/>
        <w:spacing w:line="360" w:lineRule="auto"/>
        <w:jc w:val="both"/>
        <w:rPr>
          <w:lang w:val="fr-FR"/>
        </w:rPr>
      </w:pPr>
      <w:hyperlink r:id="rId11" w:history="1">
        <w:r w:rsidRPr="00404B16">
          <w:rPr>
            <w:rStyle w:val="Lienhypertexte"/>
            <w:lang w:val="fr-FR"/>
          </w:rPr>
          <w:t>consultancy@medecinsdumonde.be</w:t>
        </w:r>
      </w:hyperlink>
      <w:r w:rsidRPr="009303C6">
        <w:rPr>
          <w:lang w:val="fr-FR"/>
        </w:rPr>
        <w:t xml:space="preserve"> </w:t>
      </w:r>
      <w:r w:rsidR="001244D8">
        <w:rPr>
          <w:lang w:val="fr-FR"/>
        </w:rPr>
        <w:t xml:space="preserve">ou </w:t>
      </w:r>
      <w:r w:rsidR="00E25FEB" w:rsidRPr="00377009">
        <w:rPr>
          <w:rStyle w:val="Lienhypertexte"/>
        </w:rPr>
        <w:t>bailleurs@medecinsdumonde.be</w:t>
      </w:r>
    </w:p>
    <w:p w14:paraId="133B9ABF" w14:textId="77777777" w:rsidR="000115DF" w:rsidRPr="009303C6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70AC3E44" w14:textId="77777777" w:rsidR="000115DF" w:rsidRPr="003E46FD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3E46FD">
        <w:rPr>
          <w:lang w:val="fr-FR"/>
        </w:rPr>
        <w:t>Pour tout renseignement concernant cet appel d'offre, vous pouvez contacter :</w:t>
      </w:r>
    </w:p>
    <w:p w14:paraId="1ADDAF57" w14:textId="50CB3659" w:rsidR="000115DF" w:rsidRPr="003E46FD" w:rsidRDefault="00E25FEB" w:rsidP="000115DF">
      <w:pPr>
        <w:pStyle w:val="Sansinterligne"/>
        <w:numPr>
          <w:ilvl w:val="0"/>
          <w:numId w:val="9"/>
        </w:numPr>
        <w:spacing w:line="360" w:lineRule="auto"/>
        <w:jc w:val="both"/>
        <w:rPr>
          <w:lang w:val="fr-FR"/>
        </w:rPr>
      </w:pPr>
      <w:r w:rsidRPr="00377009">
        <w:rPr>
          <w:b/>
          <w:lang w:val="fr-FR"/>
        </w:rPr>
        <w:t xml:space="preserve">Alessia Galdieri </w:t>
      </w:r>
      <w:r w:rsidR="00377009">
        <w:rPr>
          <w:b/>
          <w:lang w:val="fr-FR"/>
        </w:rPr>
        <w:t xml:space="preserve">Grant and Partnership Manager </w:t>
      </w:r>
      <w:r w:rsidR="000115DF" w:rsidRPr="00377009">
        <w:rPr>
          <w:b/>
          <w:lang w:val="fr-FR"/>
        </w:rPr>
        <w:t xml:space="preserve">(responsable de la demande) </w:t>
      </w:r>
      <w:r w:rsidR="000115DF" w:rsidRPr="00377009">
        <w:rPr>
          <w:lang w:val="fr-FR"/>
        </w:rPr>
        <w:t xml:space="preserve">au </w:t>
      </w:r>
      <w:r w:rsidRPr="00377009">
        <w:rPr>
          <w:b/>
          <w:lang w:val="fr-FR"/>
        </w:rPr>
        <w:t>+320494230353</w:t>
      </w:r>
      <w:r w:rsidR="000115DF" w:rsidRPr="00377009">
        <w:rPr>
          <w:lang w:val="fr-FR"/>
        </w:rPr>
        <w:t xml:space="preserve"> ou </w:t>
      </w:r>
      <w:r w:rsidR="000115DF" w:rsidRPr="009303C6">
        <w:rPr>
          <w:lang w:val="fr-FR"/>
        </w:rPr>
        <w:t xml:space="preserve">par email à l’adresse </w:t>
      </w:r>
      <w:r w:rsidRPr="00377009">
        <w:rPr>
          <w:rStyle w:val="Lienhypertexte"/>
        </w:rPr>
        <w:t>alessia.galdieri@medecinsdumonde.be</w:t>
      </w:r>
      <w:r w:rsidR="000115DF">
        <w:rPr>
          <w:b/>
          <w:color w:val="FF0000"/>
          <w:lang w:val="fr-FR"/>
        </w:rPr>
        <w:t xml:space="preserve"> </w:t>
      </w:r>
    </w:p>
    <w:p w14:paraId="459C612A" w14:textId="2DA19518" w:rsidR="000115DF" w:rsidRPr="00D260D6" w:rsidRDefault="002C2227" w:rsidP="000115DF">
      <w:pPr>
        <w:pStyle w:val="Sansinterligne"/>
        <w:numPr>
          <w:ilvl w:val="0"/>
          <w:numId w:val="9"/>
        </w:numPr>
        <w:spacing w:line="360" w:lineRule="auto"/>
        <w:jc w:val="both"/>
      </w:pPr>
      <w:r w:rsidRPr="00D260D6">
        <w:t>A</w:t>
      </w:r>
      <w:r w:rsidR="000115DF" w:rsidRPr="00D260D6">
        <w:t xml:space="preserve"> l’adresse </w:t>
      </w:r>
      <w:hyperlink r:id="rId12" w:history="1">
        <w:r w:rsidR="000115DF" w:rsidRPr="00D260D6">
          <w:rPr>
            <w:rStyle w:val="Lienhypertexte"/>
          </w:rPr>
          <w:t>consultancy@medecinsdumonde.be</w:t>
        </w:r>
      </w:hyperlink>
      <w:r w:rsidRPr="00D260D6">
        <w:t xml:space="preserve"> </w:t>
      </w:r>
      <w:r w:rsidR="00D260D6" w:rsidRPr="00D260D6">
        <w:t>en</w:t>
      </w:r>
      <w:r w:rsidR="00D260D6">
        <w:t xml:space="preserve"> cas des questions sur la démarche de l’Offre de consultance</w:t>
      </w:r>
    </w:p>
    <w:p w14:paraId="1B4869D1" w14:textId="77777777" w:rsidR="000115DF" w:rsidRPr="00D260D6" w:rsidRDefault="000115DF" w:rsidP="000115DF">
      <w:pPr>
        <w:pStyle w:val="Sansinterligne"/>
        <w:spacing w:line="360" w:lineRule="auto"/>
        <w:jc w:val="both"/>
      </w:pPr>
    </w:p>
    <w:p w14:paraId="44103D6F" w14:textId="77777777" w:rsidR="000115DF" w:rsidRPr="009303C6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9303C6">
        <w:rPr>
          <w:lang w:val="fr-FR"/>
        </w:rPr>
        <w:t>En cas de désistement, ou si vous ne souhaitez pas répondre à cet appel d’offres, je vous prie de bien vo</w:t>
      </w:r>
      <w:r>
        <w:rPr>
          <w:lang w:val="fr-FR"/>
        </w:rPr>
        <w:t>uloir nous en informer par email</w:t>
      </w:r>
      <w:r w:rsidRPr="009303C6">
        <w:rPr>
          <w:lang w:val="fr-FR"/>
        </w:rPr>
        <w:t>.  Une fois la décision d’attribution prise, les soumissionnaires seront informés par écrit. </w:t>
      </w:r>
    </w:p>
    <w:p w14:paraId="3E11A23E" w14:textId="77777777" w:rsidR="000115DF" w:rsidRPr="009303C6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4589F2F9" w14:textId="77777777" w:rsidR="000115DF" w:rsidRPr="003E46FD" w:rsidRDefault="000115DF" w:rsidP="000115DF">
      <w:pPr>
        <w:pStyle w:val="Titre1"/>
        <w:rPr>
          <w:b w:val="0"/>
        </w:rPr>
      </w:pPr>
      <w:r w:rsidRPr="003E46FD">
        <w:t>Evaluation des offres</w:t>
      </w:r>
    </w:p>
    <w:p w14:paraId="583B1B1D" w14:textId="77777777" w:rsidR="000115DF" w:rsidRPr="001775FB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6E8C0D83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>
        <w:rPr>
          <w:lang w:val="fr-FR"/>
        </w:rPr>
        <w:t>La grille d’analyse suivante permettra à MdM-BE d’évaluer les offres réceptionnées. L’Organisation attribuera une certaine valeur à</w:t>
      </w:r>
      <w:r w:rsidRPr="00934F14">
        <w:rPr>
          <w:lang w:val="fr-FR"/>
        </w:rPr>
        <w:t xml:space="preserve"> chaque critère. Sur base de l'é</w:t>
      </w:r>
      <w:r>
        <w:rPr>
          <w:lang w:val="fr-FR"/>
        </w:rPr>
        <w:t xml:space="preserve">valuation de tous ces critères et </w:t>
      </w:r>
      <w:r w:rsidRPr="00934F14">
        <w:rPr>
          <w:lang w:val="fr-FR"/>
        </w:rPr>
        <w:t>tenant compte de la valeur attribuée à chacun, le marché sera attribu</w:t>
      </w:r>
      <w:r>
        <w:rPr>
          <w:lang w:val="fr-FR"/>
        </w:rPr>
        <w:t xml:space="preserve">é au soumissionnaire présentant </w:t>
      </w:r>
      <w:r w:rsidRPr="00934F14">
        <w:rPr>
          <w:lang w:val="fr-FR"/>
        </w:rPr>
        <w:t>l'</w:t>
      </w:r>
      <w:r w:rsidRPr="003857D3">
        <w:rPr>
          <w:b/>
          <w:lang w:val="fr-FR"/>
        </w:rPr>
        <w:t>offre la plus avantageuse</w:t>
      </w:r>
      <w:r>
        <w:rPr>
          <w:lang w:val="fr-FR"/>
        </w:rPr>
        <w:t xml:space="preserve">. </w:t>
      </w:r>
    </w:p>
    <w:p w14:paraId="0DEF3C99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2DF4838A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Ces critères sont donnés à titre indicatif pour permettre aux candidats de rédiger une offre la plus complète possible. MdM-BE se réserve le droit de modifier et/ou d’ajouter tous critères afin de rendre l’évaluation la plus significative possible. </w:t>
      </w:r>
    </w:p>
    <w:p w14:paraId="18670353" w14:textId="77777777" w:rsidR="000115DF" w:rsidRPr="001775FB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837"/>
        <w:gridCol w:w="6529"/>
        <w:gridCol w:w="79"/>
        <w:gridCol w:w="1617"/>
      </w:tblGrid>
      <w:tr w:rsidR="000115DF" w:rsidRPr="00AA459D" w14:paraId="2FC457D3" w14:textId="77777777" w:rsidTr="00344C18">
        <w:trPr>
          <w:trHeight w:val="454"/>
        </w:trPr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2F757DA" w14:textId="77777777" w:rsidR="000115DF" w:rsidRPr="00AA459D" w:rsidRDefault="000115DF" w:rsidP="00344C18">
            <w:pPr>
              <w:pStyle w:val="Sansinterligne"/>
              <w:jc w:val="center"/>
              <w:rPr>
                <w:rFonts w:cs="Arial"/>
                <w:b/>
              </w:rPr>
            </w:pPr>
            <w:r w:rsidRPr="00AA459D">
              <w:rPr>
                <w:rFonts w:cs="Arial"/>
                <w:b/>
              </w:rPr>
              <w:t>N°</w:t>
            </w:r>
          </w:p>
        </w:tc>
        <w:tc>
          <w:tcPr>
            <w:tcW w:w="6608" w:type="dxa"/>
            <w:gridSpan w:val="2"/>
            <w:shd w:val="clear" w:color="auto" w:fill="D9D9D9" w:themeFill="background1" w:themeFillShade="D9"/>
            <w:vAlign w:val="center"/>
          </w:tcPr>
          <w:p w14:paraId="25F211BA" w14:textId="77777777" w:rsidR="000115DF" w:rsidRPr="00AA459D" w:rsidRDefault="000115DF" w:rsidP="00344C18">
            <w:pPr>
              <w:pStyle w:val="Sansinterligne"/>
              <w:jc w:val="center"/>
              <w:rPr>
                <w:rFonts w:cs="Arial"/>
                <w:b/>
              </w:rPr>
            </w:pPr>
            <w:r w:rsidRPr="00AA459D">
              <w:rPr>
                <w:rFonts w:cs="Arial"/>
                <w:b/>
              </w:rPr>
              <w:t>Description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29EC3A4" w14:textId="77777777" w:rsidR="000115DF" w:rsidRPr="00AA459D" w:rsidRDefault="000115DF" w:rsidP="00344C18">
            <w:pPr>
              <w:pStyle w:val="Sansinterligne"/>
              <w:jc w:val="center"/>
              <w:rPr>
                <w:rFonts w:cs="Arial"/>
                <w:b/>
              </w:rPr>
            </w:pPr>
            <w:r w:rsidRPr="00AA459D">
              <w:rPr>
                <w:rFonts w:cs="Arial"/>
                <w:b/>
              </w:rPr>
              <w:t>Pondération</w:t>
            </w:r>
          </w:p>
        </w:tc>
      </w:tr>
      <w:tr w:rsidR="000115DF" w:rsidRPr="008D655E" w14:paraId="16B11BB3" w14:textId="77777777" w:rsidTr="00344C18">
        <w:trPr>
          <w:trHeight w:val="454"/>
        </w:trPr>
        <w:tc>
          <w:tcPr>
            <w:tcW w:w="837" w:type="dxa"/>
            <w:vAlign w:val="center"/>
          </w:tcPr>
          <w:p w14:paraId="1A6A0D0D" w14:textId="77777777" w:rsidR="000115DF" w:rsidRPr="008D655E" w:rsidRDefault="000115DF" w:rsidP="00806611">
            <w:pPr>
              <w:pStyle w:val="Sansinterligne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1</w:t>
            </w:r>
          </w:p>
        </w:tc>
        <w:tc>
          <w:tcPr>
            <w:tcW w:w="6608" w:type="dxa"/>
            <w:gridSpan w:val="2"/>
            <w:vAlign w:val="center"/>
          </w:tcPr>
          <w:p w14:paraId="71836591" w14:textId="77777777" w:rsidR="000115DF" w:rsidRPr="008D655E" w:rsidRDefault="000115DF" w:rsidP="00806611">
            <w:pPr>
              <w:pStyle w:val="Sansinterligne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Prix</w:t>
            </w:r>
          </w:p>
        </w:tc>
        <w:tc>
          <w:tcPr>
            <w:tcW w:w="1617" w:type="dxa"/>
            <w:vAlign w:val="center"/>
          </w:tcPr>
          <w:p w14:paraId="58DC4E35" w14:textId="77777777" w:rsidR="000115DF" w:rsidRPr="008D655E" w:rsidRDefault="000115DF" w:rsidP="00806611">
            <w:pPr>
              <w:pStyle w:val="Sansinterligne"/>
              <w:jc w:val="center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/50</w:t>
            </w:r>
          </w:p>
        </w:tc>
      </w:tr>
      <w:tr w:rsidR="000115DF" w:rsidRPr="00AA459D" w14:paraId="22CF1279" w14:textId="77777777" w:rsidTr="00344C18">
        <w:trPr>
          <w:trHeight w:val="454"/>
        </w:trPr>
        <w:tc>
          <w:tcPr>
            <w:tcW w:w="837" w:type="dxa"/>
          </w:tcPr>
          <w:p w14:paraId="238070B4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11707898" w14:textId="77777777" w:rsidR="000115DF" w:rsidRPr="00116441" w:rsidRDefault="000115DF" w:rsidP="0080661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  <w:r w:rsidRPr="00116441">
              <w:rPr>
                <w:rFonts w:cs="Arial"/>
                <w:i/>
              </w:rPr>
              <w:t>Score donné à l’offre =</w:t>
            </w:r>
            <w:r w:rsidRPr="00AA459D">
              <w:rPr>
                <w:rFonts w:cs="Arial"/>
                <w:b/>
                <w:i/>
              </w:rPr>
              <w:t xml:space="preserve"> (prix de l’offre la plus basse / prix de l’offre) * pondération du critère prix</w:t>
            </w:r>
          </w:p>
        </w:tc>
      </w:tr>
      <w:tr w:rsidR="000115DF" w:rsidRPr="008D655E" w14:paraId="274B69A8" w14:textId="77777777" w:rsidTr="00344C18">
        <w:trPr>
          <w:trHeight w:val="454"/>
        </w:trPr>
        <w:tc>
          <w:tcPr>
            <w:tcW w:w="837" w:type="dxa"/>
            <w:vAlign w:val="center"/>
          </w:tcPr>
          <w:p w14:paraId="7D0468B8" w14:textId="77777777" w:rsidR="000115DF" w:rsidRPr="008D655E" w:rsidRDefault="000115DF" w:rsidP="00806611">
            <w:pPr>
              <w:pStyle w:val="Sansinterligne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2</w:t>
            </w:r>
          </w:p>
        </w:tc>
        <w:tc>
          <w:tcPr>
            <w:tcW w:w="6608" w:type="dxa"/>
            <w:gridSpan w:val="2"/>
            <w:vAlign w:val="center"/>
          </w:tcPr>
          <w:p w14:paraId="2D3266F6" w14:textId="77777777" w:rsidR="000115DF" w:rsidRPr="008D655E" w:rsidRDefault="000115DF" w:rsidP="00806611">
            <w:pPr>
              <w:pStyle w:val="Sansinterligne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Passage devant un panel</w:t>
            </w:r>
          </w:p>
        </w:tc>
        <w:tc>
          <w:tcPr>
            <w:tcW w:w="1617" w:type="dxa"/>
            <w:vAlign w:val="center"/>
          </w:tcPr>
          <w:p w14:paraId="01A4B89F" w14:textId="77777777" w:rsidR="000115DF" w:rsidRPr="008D655E" w:rsidRDefault="000115DF" w:rsidP="00806611">
            <w:pPr>
              <w:pStyle w:val="Sansinterligne"/>
              <w:jc w:val="center"/>
              <w:rPr>
                <w:rFonts w:cs="Arial"/>
                <w:b/>
              </w:rPr>
            </w:pPr>
            <w:r w:rsidRPr="008D655E">
              <w:rPr>
                <w:rFonts w:cs="Arial"/>
                <w:b/>
              </w:rPr>
              <w:t>/50</w:t>
            </w:r>
          </w:p>
        </w:tc>
      </w:tr>
      <w:tr w:rsidR="000115DF" w:rsidRPr="00AA459D" w14:paraId="247D8820" w14:textId="77777777" w:rsidTr="00344C18">
        <w:trPr>
          <w:trHeight w:val="454"/>
        </w:trPr>
        <w:tc>
          <w:tcPr>
            <w:tcW w:w="837" w:type="dxa"/>
          </w:tcPr>
          <w:p w14:paraId="132106DC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7510E712" w14:textId="77777777" w:rsidR="000115DF" w:rsidRPr="00AA459D" w:rsidRDefault="000115DF" w:rsidP="0080661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  <w:r w:rsidRPr="00AA459D">
              <w:rPr>
                <w:rFonts w:cs="Arial"/>
                <w:i/>
              </w:rPr>
              <w:t xml:space="preserve">Les différents soumissionnaires développeront </w:t>
            </w:r>
            <w:r w:rsidRPr="008D655E">
              <w:rPr>
                <w:rFonts w:cs="Arial"/>
                <w:b/>
                <w:i/>
              </w:rPr>
              <w:t xml:space="preserve">la façon dont ils comptent mener à bien la mission </w:t>
            </w:r>
            <w:r w:rsidRPr="00AA459D">
              <w:rPr>
                <w:rFonts w:cs="Arial"/>
                <w:i/>
              </w:rPr>
              <w:t>telle que définie dans le présent cahier de charge. La présentation devra être accompagnée d'un support écrit et devra permettre d'évaluer la qualité des solutions proposées.</w:t>
            </w:r>
          </w:p>
        </w:tc>
      </w:tr>
      <w:tr w:rsidR="000115DF" w:rsidRPr="00AA459D" w14:paraId="28C94B2A" w14:textId="77777777" w:rsidTr="00344C18">
        <w:trPr>
          <w:trHeight w:val="454"/>
        </w:trPr>
        <w:tc>
          <w:tcPr>
            <w:tcW w:w="837" w:type="dxa"/>
            <w:vAlign w:val="center"/>
          </w:tcPr>
          <w:p w14:paraId="7EDC091D" w14:textId="77777777" w:rsidR="000115DF" w:rsidRPr="00AA459D" w:rsidRDefault="000115DF" w:rsidP="00806611">
            <w:pPr>
              <w:pStyle w:val="Sansinterligne"/>
              <w:jc w:val="right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2.1</w:t>
            </w:r>
          </w:p>
        </w:tc>
        <w:tc>
          <w:tcPr>
            <w:tcW w:w="6608" w:type="dxa"/>
            <w:gridSpan w:val="2"/>
            <w:vAlign w:val="center"/>
          </w:tcPr>
          <w:p w14:paraId="5A56A767" w14:textId="77777777" w:rsidR="000115DF" w:rsidRPr="00AA459D" w:rsidRDefault="000115DF" w:rsidP="00806611">
            <w:pPr>
              <w:pStyle w:val="Sansinterligne"/>
              <w:rPr>
                <w:rFonts w:cs="Arial"/>
                <w:color w:val="808080" w:themeColor="background1" w:themeShade="80"/>
              </w:rPr>
            </w:pPr>
            <w:r w:rsidRPr="00AA459D">
              <w:rPr>
                <w:rFonts w:cs="Arial"/>
                <w:color w:val="808080" w:themeColor="background1" w:themeShade="80"/>
              </w:rPr>
              <w:t>Approche méthodologique</w:t>
            </w:r>
          </w:p>
        </w:tc>
        <w:tc>
          <w:tcPr>
            <w:tcW w:w="1617" w:type="dxa"/>
            <w:vAlign w:val="center"/>
          </w:tcPr>
          <w:p w14:paraId="4960FCA6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/20</w:t>
            </w:r>
          </w:p>
        </w:tc>
      </w:tr>
      <w:tr w:rsidR="000115DF" w:rsidRPr="00AA459D" w14:paraId="4A607FE8" w14:textId="77777777" w:rsidTr="00344C18">
        <w:trPr>
          <w:trHeight w:val="454"/>
        </w:trPr>
        <w:tc>
          <w:tcPr>
            <w:tcW w:w="837" w:type="dxa"/>
          </w:tcPr>
          <w:p w14:paraId="4D556273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5FAEA799" w14:textId="71ECB4F1" w:rsidR="000115DF" w:rsidRPr="00AA459D" w:rsidRDefault="00377009" w:rsidP="00806611">
            <w:pPr>
              <w:autoSpaceDE w:val="0"/>
              <w:autoSpaceDN w:val="0"/>
              <w:adjustRightInd w:val="0"/>
              <w:rPr>
                <w:rFonts w:cs="Arial"/>
                <w:i/>
                <w:color w:val="808080" w:themeColor="background1" w:themeShade="80"/>
              </w:rPr>
            </w:pPr>
            <w:r w:rsidRPr="00377009">
              <w:rPr>
                <w:rFonts w:cs="Arial"/>
                <w:i/>
                <w:color w:val="808080" w:themeColor="background1" w:themeShade="80"/>
                <w:lang w:val="fr-BE"/>
              </w:rPr>
              <w:t>Approche méthodologique – clarté, pertinence, capacité à intégrer les TOC</w:t>
            </w:r>
          </w:p>
        </w:tc>
      </w:tr>
      <w:tr w:rsidR="000115DF" w:rsidRPr="00AA459D" w14:paraId="73B57B3B" w14:textId="77777777" w:rsidTr="00344C18">
        <w:trPr>
          <w:trHeight w:val="454"/>
        </w:trPr>
        <w:tc>
          <w:tcPr>
            <w:tcW w:w="837" w:type="dxa"/>
            <w:vAlign w:val="center"/>
          </w:tcPr>
          <w:p w14:paraId="7317D3A0" w14:textId="77777777" w:rsidR="000115DF" w:rsidRPr="00AA459D" w:rsidRDefault="000115DF" w:rsidP="00806611">
            <w:pPr>
              <w:pStyle w:val="Sansinterligne"/>
              <w:jc w:val="right"/>
              <w:rPr>
                <w:rFonts w:cs="Arial"/>
                <w:color w:val="808080" w:themeColor="background1" w:themeShade="80"/>
              </w:rPr>
            </w:pPr>
            <w:r w:rsidRPr="00AA459D">
              <w:rPr>
                <w:rFonts w:cs="Arial"/>
                <w:color w:val="808080" w:themeColor="background1" w:themeShade="80"/>
              </w:rPr>
              <w:t>2.2</w:t>
            </w:r>
          </w:p>
        </w:tc>
        <w:tc>
          <w:tcPr>
            <w:tcW w:w="6608" w:type="dxa"/>
            <w:gridSpan w:val="2"/>
            <w:vAlign w:val="center"/>
          </w:tcPr>
          <w:p w14:paraId="741E93FD" w14:textId="77777777" w:rsidR="000115DF" w:rsidRPr="00AA459D" w:rsidRDefault="000115DF" w:rsidP="00806611">
            <w:pPr>
              <w:pStyle w:val="Sansinterligne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Expérience</w:t>
            </w:r>
          </w:p>
        </w:tc>
        <w:tc>
          <w:tcPr>
            <w:tcW w:w="1617" w:type="dxa"/>
            <w:vAlign w:val="center"/>
          </w:tcPr>
          <w:p w14:paraId="54203C48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/20</w:t>
            </w:r>
          </w:p>
        </w:tc>
      </w:tr>
      <w:tr w:rsidR="000115DF" w:rsidRPr="00AA459D" w14:paraId="0A1BA200" w14:textId="77777777" w:rsidTr="00344C18">
        <w:trPr>
          <w:trHeight w:val="454"/>
        </w:trPr>
        <w:tc>
          <w:tcPr>
            <w:tcW w:w="837" w:type="dxa"/>
          </w:tcPr>
          <w:p w14:paraId="144587EA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4A7BCAB0" w14:textId="77777777" w:rsidR="000115DF" w:rsidRPr="00AA459D" w:rsidRDefault="000115DF" w:rsidP="00806611">
            <w:pPr>
              <w:pStyle w:val="Sansinterligne"/>
              <w:jc w:val="both"/>
              <w:rPr>
                <w:rFonts w:cs="Arial"/>
                <w:color w:val="808080" w:themeColor="background1" w:themeShade="80"/>
              </w:rPr>
            </w:pPr>
            <w:r w:rsidRPr="00800D6B">
              <w:rPr>
                <w:rFonts w:cs="Arial"/>
                <w:i/>
                <w:color w:val="808080" w:themeColor="background1" w:themeShade="80"/>
              </w:rPr>
              <w:t xml:space="preserve">Expérience </w:t>
            </w:r>
            <w:r>
              <w:rPr>
                <w:rFonts w:cs="Arial"/>
                <w:i/>
                <w:color w:val="808080" w:themeColor="background1" w:themeShade="80"/>
              </w:rPr>
              <w:t>du consultant</w:t>
            </w:r>
            <w:r w:rsidRPr="00800D6B">
              <w:rPr>
                <w:rFonts w:cs="Arial"/>
                <w:i/>
                <w:color w:val="808080" w:themeColor="background1" w:themeShade="8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</w:rPr>
              <w:t>dans le secteur associatif et dans le partenariat avec des organisations</w:t>
            </w:r>
            <w:r w:rsidRPr="00800D6B">
              <w:rPr>
                <w:rFonts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377009" w:rsidRPr="00AA459D" w14:paraId="2070E8F8" w14:textId="77777777" w:rsidTr="00344C18">
        <w:trPr>
          <w:trHeight w:val="454"/>
        </w:trPr>
        <w:tc>
          <w:tcPr>
            <w:tcW w:w="837" w:type="dxa"/>
          </w:tcPr>
          <w:p w14:paraId="7FE9EE88" w14:textId="77777777" w:rsidR="00377009" w:rsidRPr="00AA459D" w:rsidRDefault="00377009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4C70DA3B" w14:textId="4DE1BA74" w:rsidR="00377009" w:rsidRPr="00800D6B" w:rsidRDefault="00377009" w:rsidP="00806611">
            <w:pPr>
              <w:pStyle w:val="Sansinterligne"/>
              <w:jc w:val="both"/>
              <w:rPr>
                <w:rFonts w:cs="Arial"/>
                <w:i/>
                <w:color w:val="808080" w:themeColor="background1" w:themeShade="80"/>
              </w:rPr>
            </w:pPr>
            <w:r w:rsidRPr="00377009">
              <w:rPr>
                <w:rFonts w:cs="Arial"/>
                <w:i/>
                <w:color w:val="808080" w:themeColor="background1" w:themeShade="80"/>
                <w:lang w:val="fr-BE"/>
              </w:rPr>
              <w:t>Expérience – antécédents en analyse bailleurs, cofinancement, localisation</w:t>
            </w:r>
          </w:p>
        </w:tc>
      </w:tr>
      <w:tr w:rsidR="000115DF" w:rsidRPr="00AA459D" w14:paraId="271160CB" w14:textId="77777777" w:rsidTr="00344C18">
        <w:trPr>
          <w:trHeight w:val="454"/>
        </w:trPr>
        <w:tc>
          <w:tcPr>
            <w:tcW w:w="837" w:type="dxa"/>
            <w:vAlign w:val="center"/>
          </w:tcPr>
          <w:p w14:paraId="6122883B" w14:textId="77777777" w:rsidR="000115DF" w:rsidRPr="00AA459D" w:rsidRDefault="000115DF" w:rsidP="00806611">
            <w:pPr>
              <w:pStyle w:val="Sansinterligne"/>
              <w:jc w:val="right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2.3</w:t>
            </w:r>
          </w:p>
        </w:tc>
        <w:tc>
          <w:tcPr>
            <w:tcW w:w="6608" w:type="dxa"/>
            <w:gridSpan w:val="2"/>
            <w:vAlign w:val="center"/>
          </w:tcPr>
          <w:p w14:paraId="04D11C0D" w14:textId="77777777" w:rsidR="000115DF" w:rsidRPr="00AA459D" w:rsidRDefault="000115DF" w:rsidP="00806611">
            <w:pPr>
              <w:pStyle w:val="Sansinterligne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Autre(s) critère(s).</w:t>
            </w:r>
          </w:p>
        </w:tc>
        <w:tc>
          <w:tcPr>
            <w:tcW w:w="1617" w:type="dxa"/>
            <w:vAlign w:val="center"/>
          </w:tcPr>
          <w:p w14:paraId="652DBF51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/10</w:t>
            </w:r>
          </w:p>
        </w:tc>
      </w:tr>
      <w:tr w:rsidR="000115DF" w:rsidRPr="008D655E" w14:paraId="4BDB6E59" w14:textId="77777777" w:rsidTr="00344C18">
        <w:trPr>
          <w:trHeight w:val="454"/>
        </w:trPr>
        <w:tc>
          <w:tcPr>
            <w:tcW w:w="837" w:type="dxa"/>
          </w:tcPr>
          <w:p w14:paraId="60BB0178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225" w:type="dxa"/>
            <w:gridSpan w:val="3"/>
            <w:vAlign w:val="center"/>
          </w:tcPr>
          <w:p w14:paraId="01343B81" w14:textId="6FADF079" w:rsidR="000115DF" w:rsidRPr="00AA459D" w:rsidRDefault="00377009" w:rsidP="0080661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808080" w:themeColor="background1" w:themeShade="80"/>
              </w:rPr>
            </w:pPr>
            <w:r>
              <w:rPr>
                <w:rFonts w:cs="Arial"/>
                <w:i/>
                <w:color w:val="808080" w:themeColor="background1" w:themeShade="80"/>
                <w:lang w:val="fr-BE"/>
              </w:rPr>
              <w:t>C</w:t>
            </w:r>
            <w:r w:rsidRPr="00377009">
              <w:rPr>
                <w:rFonts w:cs="Arial"/>
                <w:i/>
                <w:color w:val="808080" w:themeColor="background1" w:themeShade="80"/>
                <w:lang w:val="fr-BE"/>
              </w:rPr>
              <w:t>ompréhension des enjeux stratégiques de MdM-BE</w:t>
            </w:r>
          </w:p>
        </w:tc>
      </w:tr>
      <w:tr w:rsidR="000115DF" w:rsidRPr="00AA459D" w14:paraId="2D59BC2F" w14:textId="77777777" w:rsidTr="00344C18">
        <w:trPr>
          <w:trHeight w:val="454"/>
        </w:trPr>
        <w:tc>
          <w:tcPr>
            <w:tcW w:w="7366" w:type="dxa"/>
            <w:gridSpan w:val="2"/>
            <w:shd w:val="clear" w:color="auto" w:fill="BFBFBF" w:themeFill="background1" w:themeFillShade="BF"/>
            <w:vAlign w:val="center"/>
          </w:tcPr>
          <w:p w14:paraId="3C2525CC" w14:textId="77777777" w:rsidR="000115DF" w:rsidRPr="00AA459D" w:rsidRDefault="000115DF" w:rsidP="00806611">
            <w:pPr>
              <w:pStyle w:val="Sansinterligne"/>
              <w:rPr>
                <w:rFonts w:cs="Arial"/>
              </w:rPr>
            </w:pPr>
            <w:r w:rsidRPr="00AA459D">
              <w:rPr>
                <w:rFonts w:cs="Arial"/>
              </w:rPr>
              <w:t>Pondération totale des critères d’attribution</w:t>
            </w:r>
          </w:p>
        </w:tc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14:paraId="7827E3C4" w14:textId="77777777" w:rsidR="000115DF" w:rsidRPr="00AA459D" w:rsidRDefault="000115DF" w:rsidP="00806611">
            <w:pPr>
              <w:pStyle w:val="Sansinterligne"/>
              <w:jc w:val="center"/>
              <w:rPr>
                <w:rFonts w:cs="Arial"/>
              </w:rPr>
            </w:pPr>
            <w:r w:rsidRPr="00AA459D">
              <w:rPr>
                <w:rFonts w:cs="Arial"/>
              </w:rPr>
              <w:t>/100</w:t>
            </w:r>
          </w:p>
        </w:tc>
      </w:tr>
    </w:tbl>
    <w:p w14:paraId="669512CA" w14:textId="77777777" w:rsidR="000115DF" w:rsidRDefault="000115DF" w:rsidP="000115DF">
      <w:pPr>
        <w:pStyle w:val="Sansinterligne"/>
        <w:jc w:val="both"/>
        <w:rPr>
          <w:b/>
          <w:i/>
          <w:lang w:val="fr-FR"/>
        </w:rPr>
      </w:pPr>
    </w:p>
    <w:p w14:paraId="6C186E8D" w14:textId="77777777" w:rsidR="000115DF" w:rsidRDefault="000115DF" w:rsidP="000115DF">
      <w:pPr>
        <w:pStyle w:val="Sansinterligne"/>
        <w:spacing w:line="360" w:lineRule="auto"/>
        <w:jc w:val="both"/>
        <w:rPr>
          <w:b/>
          <w:i/>
          <w:lang w:val="fr-FR"/>
        </w:rPr>
      </w:pPr>
    </w:p>
    <w:p w14:paraId="00560EBD" w14:textId="77777777" w:rsidR="000115DF" w:rsidRDefault="000115DF" w:rsidP="000115DF">
      <w:pPr>
        <w:pStyle w:val="Titre1"/>
        <w:rPr>
          <w:lang w:val="fr-FR"/>
        </w:rPr>
      </w:pPr>
      <w:r>
        <w:rPr>
          <w:lang w:val="fr-FR"/>
        </w:rPr>
        <w:t>Contenu de l’Offre</w:t>
      </w:r>
    </w:p>
    <w:p w14:paraId="0080115A" w14:textId="77777777" w:rsidR="000115DF" w:rsidRPr="008D655E" w:rsidRDefault="000115DF" w:rsidP="000115DF">
      <w:pPr>
        <w:pStyle w:val="Sansinterligne"/>
        <w:spacing w:line="360" w:lineRule="auto"/>
        <w:jc w:val="both"/>
        <w:rPr>
          <w:b/>
          <w:i/>
          <w:lang w:val="fr-FR"/>
        </w:rPr>
      </w:pPr>
    </w:p>
    <w:p w14:paraId="4C264F03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>
        <w:rPr>
          <w:lang w:val="fr-FR"/>
        </w:rPr>
        <w:t>Le dossier de soumission doit comprendre </w:t>
      </w:r>
    </w:p>
    <w:p w14:paraId="74B1F978" w14:textId="0F391921" w:rsidR="000115DF" w:rsidRPr="000358D3" w:rsidRDefault="000115DF" w:rsidP="000115DF">
      <w:pPr>
        <w:pStyle w:val="Sansinterligne"/>
        <w:numPr>
          <w:ilvl w:val="0"/>
          <w:numId w:val="10"/>
        </w:num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Une </w:t>
      </w:r>
      <w:r w:rsidRPr="000358D3">
        <w:rPr>
          <w:b/>
          <w:lang w:val="fr-FR"/>
        </w:rPr>
        <w:t>offre technique</w:t>
      </w:r>
      <w:r>
        <w:rPr>
          <w:lang w:val="fr-FR"/>
        </w:rPr>
        <w:t xml:space="preserve"> comprenant le </w:t>
      </w:r>
      <w:r w:rsidRPr="000358D3">
        <w:rPr>
          <w:u w:val="single"/>
          <w:lang w:val="fr-FR"/>
        </w:rPr>
        <w:t>CV</w:t>
      </w:r>
      <w:r>
        <w:rPr>
          <w:u w:val="single"/>
          <w:lang w:val="fr-FR"/>
        </w:rPr>
        <w:t xml:space="preserve"> actualisé</w:t>
      </w:r>
      <w:r w:rsidRPr="000358D3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>du</w:t>
      </w:r>
      <w:r w:rsidR="00513292">
        <w:rPr>
          <w:u w:val="single"/>
          <w:lang w:val="fr-FR"/>
        </w:rPr>
        <w:t>/ de la</w:t>
      </w:r>
      <w:r>
        <w:rPr>
          <w:u w:val="single"/>
          <w:lang w:val="fr-FR"/>
        </w:rPr>
        <w:t xml:space="preserve"> consultant</w:t>
      </w:r>
      <w:r w:rsidR="00513292">
        <w:rPr>
          <w:u w:val="single"/>
          <w:lang w:val="fr-FR"/>
        </w:rPr>
        <w:t>(e)</w:t>
      </w:r>
      <w:r>
        <w:rPr>
          <w:u w:val="single"/>
          <w:lang w:val="fr-FR"/>
        </w:rPr>
        <w:t>*</w:t>
      </w:r>
      <w:r w:rsidRPr="00A60739">
        <w:rPr>
          <w:lang w:val="fr-FR"/>
        </w:rPr>
        <w:t xml:space="preserve"> </w:t>
      </w:r>
      <w:r>
        <w:rPr>
          <w:lang w:val="fr-FR"/>
        </w:rPr>
        <w:t xml:space="preserve">et une </w:t>
      </w:r>
      <w:r w:rsidRPr="000358D3">
        <w:rPr>
          <w:u w:val="single"/>
          <w:lang w:val="fr-FR"/>
        </w:rPr>
        <w:t>description de l’approche méthodologique envisagée</w:t>
      </w:r>
      <w:r w:rsidRPr="000358D3">
        <w:rPr>
          <w:lang w:val="fr-FR"/>
        </w:rPr>
        <w:t xml:space="preserve"> pour répondre aux questions et aux objectifs exposés </w:t>
      </w:r>
      <w:r>
        <w:rPr>
          <w:lang w:val="fr-FR"/>
        </w:rPr>
        <w:t>ci-dessus</w:t>
      </w:r>
      <w:r w:rsidRPr="000358D3">
        <w:rPr>
          <w:lang w:val="fr-FR"/>
        </w:rPr>
        <w:t xml:space="preserve"> ainsi qu’un </w:t>
      </w:r>
      <w:r w:rsidRPr="000358D3">
        <w:rPr>
          <w:u w:val="single"/>
          <w:lang w:val="fr-FR"/>
        </w:rPr>
        <w:t>calendrier détaillé</w:t>
      </w:r>
      <w:r>
        <w:rPr>
          <w:lang w:val="fr-FR"/>
        </w:rPr>
        <w:t>.</w:t>
      </w:r>
    </w:p>
    <w:p w14:paraId="6ABC6BC6" w14:textId="77777777" w:rsidR="000115DF" w:rsidRPr="00A60739" w:rsidRDefault="000115DF" w:rsidP="000115DF">
      <w:pPr>
        <w:pStyle w:val="Sansinterligne"/>
        <w:numPr>
          <w:ilvl w:val="0"/>
          <w:numId w:val="10"/>
        </w:numPr>
        <w:spacing w:line="360" w:lineRule="auto"/>
        <w:jc w:val="both"/>
        <w:rPr>
          <w:lang w:val="fr-FR"/>
        </w:rPr>
      </w:pPr>
      <w:r>
        <w:rPr>
          <w:lang w:val="fr-FR"/>
        </w:rPr>
        <w:t>U</w:t>
      </w:r>
      <w:r w:rsidRPr="000358D3">
        <w:rPr>
          <w:lang w:val="fr-FR"/>
        </w:rPr>
        <w:t xml:space="preserve">ne </w:t>
      </w:r>
      <w:r w:rsidRPr="000358D3">
        <w:rPr>
          <w:b/>
          <w:lang w:val="fr-FR"/>
        </w:rPr>
        <w:t xml:space="preserve">offre financière </w:t>
      </w:r>
      <w:r w:rsidRPr="000358D3">
        <w:rPr>
          <w:lang w:val="fr-FR"/>
        </w:rPr>
        <w:t>comprenant une proposition financière détaill</w:t>
      </w:r>
      <w:r>
        <w:rPr>
          <w:lang w:val="fr-FR"/>
        </w:rPr>
        <w:t xml:space="preserve">ée </w:t>
      </w:r>
      <w:r w:rsidRPr="00344C18">
        <w:rPr>
          <w:lang w:val="fr-FR"/>
        </w:rPr>
        <w:t xml:space="preserve">en </w:t>
      </w:r>
      <w:r w:rsidRPr="00344C18">
        <w:rPr>
          <w:b/>
          <w:lang w:val="fr-FR"/>
        </w:rPr>
        <w:t>EUR</w:t>
      </w:r>
      <w:r w:rsidRPr="00344C18">
        <w:rPr>
          <w:lang w:val="fr-FR"/>
        </w:rPr>
        <w:t xml:space="preserve"> </w:t>
      </w:r>
      <w:r w:rsidRPr="000358D3">
        <w:rPr>
          <w:lang w:val="fr-FR"/>
        </w:rPr>
        <w:t>incluant notamment tous les frais envisagés.</w:t>
      </w:r>
    </w:p>
    <w:p w14:paraId="597F7C72" w14:textId="77777777" w:rsidR="000115DF" w:rsidRPr="008D655E" w:rsidRDefault="000115DF" w:rsidP="000115DF">
      <w:pPr>
        <w:pStyle w:val="Sansinterligne"/>
        <w:spacing w:line="360" w:lineRule="auto"/>
        <w:jc w:val="both"/>
        <w:rPr>
          <w:b/>
          <w:i/>
          <w:lang w:val="fr-FR"/>
        </w:rPr>
      </w:pPr>
    </w:p>
    <w:p w14:paraId="0AD60260" w14:textId="77777777" w:rsidR="000115DF" w:rsidRPr="001775FB" w:rsidRDefault="000115DF" w:rsidP="000115DF">
      <w:pPr>
        <w:pStyle w:val="Sansinterligne"/>
        <w:spacing w:line="36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*Les CV du </w:t>
      </w:r>
      <w:r w:rsidRPr="001775FB">
        <w:rPr>
          <w:lang w:val="fr-FR"/>
        </w:rPr>
        <w:t>soumissionnaire indiquera clairement et de façon détaillée (organisation, type de prestations et période des prestations)</w:t>
      </w:r>
      <w:r>
        <w:rPr>
          <w:lang w:val="fr-FR"/>
        </w:rPr>
        <w:t>,</w:t>
      </w:r>
      <w:r w:rsidRPr="001775FB">
        <w:rPr>
          <w:lang w:val="fr-FR"/>
        </w:rPr>
        <w:t xml:space="preserve"> ses expériences similaires.</w:t>
      </w:r>
    </w:p>
    <w:p w14:paraId="4F25D200" w14:textId="77777777" w:rsidR="000115DF" w:rsidRPr="001775FB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7F8B0E4F" w14:textId="77777777" w:rsidR="00377009" w:rsidRPr="00377009" w:rsidRDefault="00377009" w:rsidP="00377009">
      <w:pPr>
        <w:pStyle w:val="Sansinterligne"/>
        <w:spacing w:line="360" w:lineRule="auto"/>
        <w:jc w:val="both"/>
        <w:rPr>
          <w:bCs/>
        </w:rPr>
      </w:pPr>
      <w:r w:rsidRPr="00377009">
        <w:rPr>
          <w:bCs/>
        </w:rPr>
        <w:t>L’attention du soumissionnaire est attirée sur le fait que le prix total forfaitaire se rapporte à l’ensemble de la mission, et inclut les honoraires ainsi que tous les frais inhérents aux prestations (y compris frais de voyage, de séjour, outils et plateformes de collaboration, documentation, etc.).</w:t>
      </w:r>
    </w:p>
    <w:p w14:paraId="14B0E9AF" w14:textId="77777777" w:rsidR="00377009" w:rsidRPr="00377009" w:rsidRDefault="00377009" w:rsidP="00377009">
      <w:pPr>
        <w:pStyle w:val="Sansinterligne"/>
        <w:spacing w:line="360" w:lineRule="auto"/>
        <w:jc w:val="both"/>
        <w:rPr>
          <w:bCs/>
        </w:rPr>
      </w:pPr>
      <w:r w:rsidRPr="00377009">
        <w:rPr>
          <w:bCs/>
        </w:rPr>
        <w:t>Les frais suivants ne sont pas couverts par le budget de la consultance et restent à la charge du consultant :</w:t>
      </w:r>
    </w:p>
    <w:p w14:paraId="62019126" w14:textId="77777777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assurance professionnelle,</w:t>
      </w:r>
    </w:p>
    <w:p w14:paraId="712A4FF2" w14:textId="77777777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matériel informatique personnel,</w:t>
      </w:r>
    </w:p>
    <w:p w14:paraId="7F49DB64" w14:textId="77777777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frais bancaires liés au transfert international de fonds (le cas échéant).</w:t>
      </w:r>
    </w:p>
    <w:p w14:paraId="276D81E5" w14:textId="77777777" w:rsidR="000115DF" w:rsidRPr="00377009" w:rsidRDefault="000115DF" w:rsidP="000115DF">
      <w:pPr>
        <w:pStyle w:val="Sansinterligne"/>
        <w:spacing w:line="360" w:lineRule="auto"/>
        <w:jc w:val="both"/>
      </w:pPr>
    </w:p>
    <w:p w14:paraId="2F1D002A" w14:textId="77777777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8C0286">
        <w:rPr>
          <w:lang w:val="fr-FR"/>
        </w:rPr>
        <w:t>L’</w:t>
      </w:r>
      <w:r w:rsidRPr="00377009">
        <w:rPr>
          <w:lang w:val="fr-FR"/>
        </w:rPr>
        <w:t xml:space="preserve">offre du candidat, les documents qu’il y sont joints et les documents échangés sont rédigés en </w:t>
      </w:r>
      <w:r w:rsidRPr="00377009">
        <w:rPr>
          <w:b/>
          <w:lang w:val="fr-FR"/>
        </w:rPr>
        <w:t>français</w:t>
      </w:r>
      <w:r w:rsidRPr="00377009">
        <w:rPr>
          <w:lang w:val="fr-FR"/>
        </w:rPr>
        <w:t>.</w:t>
      </w:r>
    </w:p>
    <w:p w14:paraId="42A302F5" w14:textId="4FF2E1ED" w:rsidR="00377009" w:rsidRPr="00377009" w:rsidRDefault="001244D8" w:rsidP="00377009">
      <w:pPr>
        <w:pStyle w:val="Sansinterligne"/>
        <w:spacing w:line="360" w:lineRule="auto"/>
        <w:jc w:val="both"/>
        <w:rPr>
          <w:bCs/>
        </w:rPr>
      </w:pPr>
      <w:r>
        <w:rPr>
          <w:lang w:val="fr-FR"/>
        </w:rPr>
        <w:t xml:space="preserve">Le dossier devra également comprendre les informations administratives suivantes : </w:t>
      </w:r>
      <w:r w:rsidR="00377009" w:rsidRPr="00377009">
        <w:rPr>
          <w:bCs/>
        </w:rPr>
        <w:t>numéro d’enregistrement fiscal (ou équivalent selon le pays de résidence),</w:t>
      </w:r>
    </w:p>
    <w:p w14:paraId="02B54CDF" w14:textId="5A89FA3C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coordonnées bancaires (IBAN + BIC/SWIFT),</w:t>
      </w:r>
    </w:p>
    <w:p w14:paraId="0052AEA7" w14:textId="7A51A390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adresse légale complète,</w:t>
      </w:r>
    </w:p>
    <w:p w14:paraId="7F02F384" w14:textId="28FCCE5D" w:rsidR="00377009" w:rsidRPr="00377009" w:rsidRDefault="00377009" w:rsidP="00377009">
      <w:pPr>
        <w:pStyle w:val="Sansinterligne"/>
        <w:numPr>
          <w:ilvl w:val="0"/>
          <w:numId w:val="16"/>
        </w:numPr>
        <w:spacing w:line="360" w:lineRule="auto"/>
        <w:jc w:val="both"/>
        <w:rPr>
          <w:bCs/>
        </w:rPr>
      </w:pPr>
      <w:r w:rsidRPr="00377009">
        <w:rPr>
          <w:bCs/>
        </w:rPr>
        <w:t>numéro de TVA (si applicable).</w:t>
      </w:r>
    </w:p>
    <w:p w14:paraId="2DA454A3" w14:textId="2F44FE4B" w:rsidR="000115DF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144FBE78" w14:textId="77777777" w:rsidR="000115DF" w:rsidRPr="001775FB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D81978">
        <w:rPr>
          <w:lang w:val="fr-FR"/>
        </w:rPr>
        <w:t>Par la présentation de son offre, le soumissionnaire accepte toutes le</w:t>
      </w:r>
      <w:r>
        <w:rPr>
          <w:lang w:val="fr-FR"/>
        </w:rPr>
        <w:t xml:space="preserve">s clauses du Cahier des Charges </w:t>
      </w:r>
      <w:r w:rsidRPr="00D81978">
        <w:rPr>
          <w:lang w:val="fr-FR"/>
        </w:rPr>
        <w:t xml:space="preserve">et renonce à toutes les autres conditions. Si le pouvoir adjudicateur </w:t>
      </w:r>
      <w:r>
        <w:rPr>
          <w:lang w:val="fr-FR"/>
        </w:rPr>
        <w:t xml:space="preserve">constate, lors de l’analyse des </w:t>
      </w:r>
      <w:r w:rsidRPr="00D81978">
        <w:rPr>
          <w:lang w:val="fr-FR"/>
        </w:rPr>
        <w:t>offres, que le soumissionnaire a ajouté des conditions qui ren</w:t>
      </w:r>
      <w:r>
        <w:rPr>
          <w:lang w:val="fr-FR"/>
        </w:rPr>
        <w:t xml:space="preserve">dent l’offre imprécise ou si le </w:t>
      </w:r>
      <w:r w:rsidRPr="00D81978">
        <w:rPr>
          <w:lang w:val="fr-FR"/>
        </w:rPr>
        <w:t>soumissionnaire émet des réserves quant aux conditions du</w:t>
      </w:r>
      <w:r>
        <w:rPr>
          <w:lang w:val="fr-FR"/>
        </w:rPr>
        <w:t xml:space="preserve"> Cahier des Charges, le pouvoir </w:t>
      </w:r>
      <w:r w:rsidRPr="00D81978">
        <w:rPr>
          <w:lang w:val="fr-FR"/>
        </w:rPr>
        <w:t>adjudicateur se réserve le droit de considérer l’offre comme substantiellement irrégulière.</w:t>
      </w:r>
    </w:p>
    <w:p w14:paraId="524ABF7C" w14:textId="77777777" w:rsidR="000115DF" w:rsidRPr="001775FB" w:rsidRDefault="000115DF" w:rsidP="000115DF">
      <w:pPr>
        <w:pStyle w:val="Sansinterligne"/>
        <w:jc w:val="both"/>
        <w:rPr>
          <w:lang w:val="fr-FR"/>
        </w:rPr>
      </w:pPr>
    </w:p>
    <w:p w14:paraId="18A0D33D" w14:textId="77777777" w:rsidR="000115DF" w:rsidRPr="003E46FD" w:rsidRDefault="000115DF" w:rsidP="000115DF">
      <w:pPr>
        <w:pStyle w:val="Titre1"/>
        <w:rPr>
          <w:b w:val="0"/>
        </w:rPr>
      </w:pPr>
      <w:r w:rsidRPr="003E46FD">
        <w:t>Délais</w:t>
      </w:r>
    </w:p>
    <w:p w14:paraId="6CD480CE" w14:textId="77777777" w:rsidR="000115DF" w:rsidRDefault="000115DF" w:rsidP="000115DF">
      <w:pPr>
        <w:pStyle w:val="NormalWeb"/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2F5E6123" w14:textId="22088E24" w:rsidR="000115DF" w:rsidRPr="00377009" w:rsidRDefault="000115DF" w:rsidP="000115DF">
      <w:pPr>
        <w:pStyle w:val="Sansinterligne"/>
        <w:spacing w:line="360" w:lineRule="auto"/>
        <w:jc w:val="both"/>
        <w:rPr>
          <w:lang w:val="fr-FR"/>
        </w:rPr>
      </w:pPr>
      <w:r w:rsidRPr="00377009">
        <w:rPr>
          <w:lang w:val="fr-FR"/>
        </w:rPr>
        <w:t xml:space="preserve">Les offres doivent parvenir à la personne de contact par voie d’e-mail, au plus tard, le </w:t>
      </w:r>
      <w:r w:rsidR="00377009" w:rsidRPr="00344C18">
        <w:rPr>
          <w:b/>
          <w:bCs/>
          <w:lang w:val="fr-FR"/>
        </w:rPr>
        <w:t>20</w:t>
      </w:r>
      <w:r w:rsidRPr="00344C18">
        <w:rPr>
          <w:b/>
          <w:bCs/>
          <w:lang w:val="fr-FR"/>
        </w:rPr>
        <w:t>/</w:t>
      </w:r>
      <w:r w:rsidR="00377009" w:rsidRPr="00344C18">
        <w:rPr>
          <w:b/>
          <w:bCs/>
          <w:lang w:val="fr-FR"/>
        </w:rPr>
        <w:t>06</w:t>
      </w:r>
      <w:r w:rsidRPr="00344C18">
        <w:rPr>
          <w:b/>
          <w:bCs/>
          <w:lang w:val="fr-FR"/>
        </w:rPr>
        <w:t>/</w:t>
      </w:r>
      <w:r w:rsidR="00377009" w:rsidRPr="00344C18">
        <w:rPr>
          <w:b/>
          <w:bCs/>
          <w:lang w:val="fr-FR"/>
        </w:rPr>
        <w:t>2025</w:t>
      </w:r>
      <w:r w:rsidRPr="00344C18">
        <w:rPr>
          <w:b/>
          <w:bCs/>
          <w:lang w:val="fr-FR"/>
        </w:rPr>
        <w:t xml:space="preserve"> à </w:t>
      </w:r>
      <w:r w:rsidR="00513292" w:rsidRPr="00344C18">
        <w:rPr>
          <w:b/>
          <w:bCs/>
          <w:lang w:val="fr-FR"/>
        </w:rPr>
        <w:t>23h59</w:t>
      </w:r>
      <w:r w:rsidRPr="00344C18">
        <w:rPr>
          <w:b/>
          <w:bCs/>
          <w:lang w:val="fr-FR"/>
        </w:rPr>
        <w:t>.</w:t>
      </w:r>
    </w:p>
    <w:p w14:paraId="52C150C2" w14:textId="7BDE21B3" w:rsidR="000115DF" w:rsidRPr="000459D0" w:rsidRDefault="000115DF" w:rsidP="000115DF">
      <w:pPr>
        <w:pStyle w:val="Sansinterligne"/>
        <w:spacing w:line="360" w:lineRule="auto"/>
        <w:jc w:val="both"/>
        <w:rPr>
          <w:lang w:val="fr-FR"/>
        </w:rPr>
      </w:pPr>
    </w:p>
    <w:p w14:paraId="5D440288" w14:textId="329B0F3B" w:rsidR="00EC04ED" w:rsidRPr="00377009" w:rsidRDefault="000115DF" w:rsidP="006A2530">
      <w:pPr>
        <w:pStyle w:val="Sansinterligne"/>
        <w:spacing w:line="360" w:lineRule="auto"/>
        <w:jc w:val="both"/>
        <w:rPr>
          <w:lang w:val="fr-FR"/>
        </w:rPr>
      </w:pPr>
      <w:r w:rsidRPr="000459D0">
        <w:rPr>
          <w:lang w:val="fr-FR"/>
        </w:rPr>
        <w:t xml:space="preserve">Les soumissionnaires seront informés de l’issue de la </w:t>
      </w:r>
      <w:r w:rsidRPr="00377009">
        <w:rPr>
          <w:lang w:val="fr-FR"/>
        </w:rPr>
        <w:t xml:space="preserve">procédure le </w:t>
      </w:r>
      <w:r w:rsidR="00377009" w:rsidRPr="00377009">
        <w:rPr>
          <w:lang w:val="fr-FR"/>
        </w:rPr>
        <w:t>01</w:t>
      </w:r>
      <w:r w:rsidRPr="00377009">
        <w:rPr>
          <w:lang w:val="fr-FR"/>
        </w:rPr>
        <w:t>/</w:t>
      </w:r>
      <w:r w:rsidR="00377009" w:rsidRPr="00377009">
        <w:rPr>
          <w:lang w:val="fr-FR"/>
        </w:rPr>
        <w:t>07</w:t>
      </w:r>
      <w:r w:rsidRPr="00377009">
        <w:rPr>
          <w:lang w:val="fr-FR"/>
        </w:rPr>
        <w:t>/</w:t>
      </w:r>
      <w:r w:rsidR="00377009" w:rsidRPr="00377009">
        <w:rPr>
          <w:lang w:val="fr-FR"/>
        </w:rPr>
        <w:t>2025</w:t>
      </w:r>
      <w:r w:rsidRPr="00377009">
        <w:rPr>
          <w:lang w:val="fr-FR"/>
        </w:rPr>
        <w:t>.</w:t>
      </w:r>
    </w:p>
    <w:sectPr w:rsidR="00EC04ED" w:rsidRPr="00377009" w:rsidSect="0082543C">
      <w:headerReference w:type="default" r:id="rId13"/>
      <w:footerReference w:type="default" r:id="rId14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691C" w14:textId="77777777" w:rsidR="002D6ADE" w:rsidRDefault="002D6ADE" w:rsidP="00961DAE">
      <w:pPr>
        <w:spacing w:after="0" w:line="240" w:lineRule="auto"/>
      </w:pPr>
      <w:r>
        <w:separator/>
      </w:r>
    </w:p>
  </w:endnote>
  <w:endnote w:type="continuationSeparator" w:id="0">
    <w:p w14:paraId="7384AC16" w14:textId="77777777" w:rsidR="002D6ADE" w:rsidRDefault="002D6ADE" w:rsidP="009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4612" w14:textId="77777777" w:rsidR="00961DAE" w:rsidRPr="00961DAE" w:rsidRDefault="00961DAE" w:rsidP="00961DAE">
    <w:pPr>
      <w:pStyle w:val="Pieddepage"/>
      <w:rPr>
        <w:rFonts w:asciiTheme="minorHAnsi" w:hAnsiTheme="minorHAnsi"/>
      </w:rPr>
    </w:pPr>
    <w:r>
      <w:tab/>
    </w:r>
    <w:r>
      <w:tab/>
    </w:r>
    <w:r w:rsidRPr="00B465D4">
      <w:rPr>
        <w:rFonts w:cs="Arial"/>
        <w:sz w:val="18"/>
        <w:szCs w:val="18"/>
      </w:rPr>
      <w:t xml:space="preserve"> | </w:t>
    </w:r>
    <w:r w:rsidRPr="00B465D4">
      <w:rPr>
        <w:rFonts w:cs="Arial"/>
        <w:sz w:val="18"/>
        <w:szCs w:val="18"/>
      </w:rPr>
      <w:fldChar w:fldCharType="begin"/>
    </w:r>
    <w:r w:rsidRPr="00B465D4">
      <w:rPr>
        <w:rFonts w:cs="Arial"/>
        <w:sz w:val="18"/>
        <w:szCs w:val="18"/>
      </w:rPr>
      <w:instrText>PAGE   \* MERGEFORMAT</w:instrText>
    </w:r>
    <w:r w:rsidRPr="00B465D4">
      <w:rPr>
        <w:rFonts w:cs="Arial"/>
        <w:sz w:val="18"/>
        <w:szCs w:val="18"/>
      </w:rPr>
      <w:fldChar w:fldCharType="separate"/>
    </w:r>
    <w:r w:rsidR="00725422">
      <w:rPr>
        <w:rFonts w:cs="Arial"/>
        <w:noProof/>
        <w:sz w:val="18"/>
        <w:szCs w:val="18"/>
      </w:rPr>
      <w:t>3</w:t>
    </w:r>
    <w:r w:rsidRPr="00B465D4">
      <w:rPr>
        <w:rFonts w:cs="Arial"/>
        <w:sz w:val="18"/>
        <w:szCs w:val="18"/>
      </w:rPr>
      <w:fldChar w:fldCharType="end"/>
    </w:r>
  </w:p>
  <w:p w14:paraId="1D201042" w14:textId="77777777" w:rsidR="00961DAE" w:rsidRDefault="00961D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6D09" w14:textId="77777777" w:rsidR="002D6ADE" w:rsidRDefault="002D6ADE" w:rsidP="00961DAE">
      <w:pPr>
        <w:spacing w:after="0" w:line="240" w:lineRule="auto"/>
      </w:pPr>
      <w:r>
        <w:separator/>
      </w:r>
    </w:p>
  </w:footnote>
  <w:footnote w:type="continuationSeparator" w:id="0">
    <w:p w14:paraId="7E9BE6B6" w14:textId="77777777" w:rsidR="002D6ADE" w:rsidRDefault="002D6ADE" w:rsidP="0096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8917" w14:textId="77777777" w:rsidR="00EB0DC7" w:rsidRPr="000172A0" w:rsidRDefault="00EB0DC7" w:rsidP="00EB0DC7">
    <w:pPr>
      <w:jc w:val="right"/>
      <w:rPr>
        <w:rFonts w:eastAsia="Calibri"/>
        <w:color w:val="004C8F"/>
        <w:sz w:val="14"/>
        <w:lang w:val="en-GB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9D5BB46" wp14:editId="177E734E">
          <wp:simplePos x="0" y="0"/>
          <wp:positionH relativeFrom="column">
            <wp:posOffset>5555327</wp:posOffset>
          </wp:positionH>
          <wp:positionV relativeFrom="paragraph">
            <wp:posOffset>-226176</wp:posOffset>
          </wp:positionV>
          <wp:extent cx="683895" cy="683895"/>
          <wp:effectExtent l="0" t="0" r="1905" b="1905"/>
          <wp:wrapNone/>
          <wp:docPr id="4" name="Image 4" descr="LOGO MdM_NL DUT_CMJN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dM_NL DUT_CMJN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691A2903" wp14:editId="2BA44257">
          <wp:simplePos x="0" y="0"/>
          <wp:positionH relativeFrom="column">
            <wp:posOffset>4793904</wp:posOffset>
          </wp:positionH>
          <wp:positionV relativeFrom="paragraph">
            <wp:posOffset>-226176</wp:posOffset>
          </wp:positionV>
          <wp:extent cx="683895" cy="683895"/>
          <wp:effectExtent l="0" t="0" r="1905" b="1905"/>
          <wp:wrapNone/>
          <wp:docPr id="5" name="Image 5" descr="logo MDM FR BLEU CMJN (201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DM FR BLEU CMJN (2016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2A0">
      <w:rPr>
        <w:rFonts w:eastAsia="Calibri"/>
        <w:noProof/>
        <w:color w:val="004C8F"/>
        <w:sz w:val="14"/>
        <w:lang w:val="fr-FR" w:eastAsia="fr-FR"/>
      </w:rPr>
      <w:drawing>
        <wp:anchor distT="0" distB="0" distL="114300" distR="114300" simplePos="0" relativeHeight="251662336" behindDoc="1" locked="0" layoutInCell="1" allowOverlap="1" wp14:anchorId="5791CCCF" wp14:editId="0F6B0CCD">
          <wp:simplePos x="0" y="0"/>
          <wp:positionH relativeFrom="column">
            <wp:posOffset>-436418</wp:posOffset>
          </wp:positionH>
          <wp:positionV relativeFrom="paragraph">
            <wp:posOffset>-13855</wp:posOffset>
          </wp:positionV>
          <wp:extent cx="5143500" cy="457200"/>
          <wp:effectExtent l="0" t="0" r="0" b="0"/>
          <wp:wrapTight wrapText="bothSides">
            <wp:wrapPolygon edited="0">
              <wp:start x="240" y="0"/>
              <wp:lineTo x="0" y="900"/>
              <wp:lineTo x="0" y="19800"/>
              <wp:lineTo x="640" y="20700"/>
              <wp:lineTo x="3360" y="20700"/>
              <wp:lineTo x="21520" y="20700"/>
              <wp:lineTo x="21520" y="0"/>
              <wp:lineTo x="24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63CF3" w14:textId="77777777" w:rsidR="00EB0DC7" w:rsidRDefault="00EB0DC7" w:rsidP="00EB0DC7">
    <w:pPr>
      <w:pStyle w:val="En-tte"/>
      <w:tabs>
        <w:tab w:val="clear" w:pos="4536"/>
        <w:tab w:val="clear" w:pos="9072"/>
        <w:tab w:val="right" w:pos="10632"/>
      </w:tabs>
      <w:ind w:left="-720" w:right="-1001"/>
      <w:jc w:val="both"/>
      <w:rPr>
        <w:color w:val="004C8F"/>
        <w:sz w:val="14"/>
        <w:lang w:val="en-GB"/>
      </w:rPr>
    </w:pPr>
  </w:p>
  <w:p w14:paraId="76CD3162" w14:textId="77777777" w:rsidR="00EB0DC7" w:rsidRDefault="00EB0DC7" w:rsidP="00EB0DC7">
    <w:pPr>
      <w:pStyle w:val="En-tte"/>
      <w:tabs>
        <w:tab w:val="clear" w:pos="4536"/>
        <w:tab w:val="clear" w:pos="9072"/>
        <w:tab w:val="right" w:pos="10632"/>
      </w:tabs>
      <w:ind w:left="-720" w:right="-1001"/>
      <w:jc w:val="both"/>
      <w:rPr>
        <w:color w:val="004C8F"/>
        <w:sz w:val="14"/>
        <w:lang w:val="en-GB"/>
      </w:rPr>
    </w:pPr>
  </w:p>
  <w:p w14:paraId="38EC673A" w14:textId="77777777" w:rsidR="00EB0DC7" w:rsidRDefault="00EB0DC7" w:rsidP="00EB0DC7">
    <w:pPr>
      <w:pStyle w:val="En-tte"/>
      <w:tabs>
        <w:tab w:val="clear" w:pos="4536"/>
        <w:tab w:val="clear" w:pos="9072"/>
        <w:tab w:val="right" w:pos="10632"/>
      </w:tabs>
      <w:ind w:left="-720" w:right="-1001"/>
      <w:jc w:val="both"/>
      <w:rPr>
        <w:color w:val="004C8F"/>
        <w:sz w:val="14"/>
        <w:lang w:val="en-GB"/>
      </w:rPr>
    </w:pPr>
  </w:p>
  <w:p w14:paraId="6040E1D4" w14:textId="77777777" w:rsidR="000865FF" w:rsidRDefault="00EB0DC7" w:rsidP="000865FF">
    <w:pPr>
      <w:pStyle w:val="En-tte"/>
      <w:tabs>
        <w:tab w:val="clear" w:pos="4536"/>
        <w:tab w:val="clear" w:pos="9072"/>
        <w:tab w:val="right" w:pos="10632"/>
      </w:tabs>
      <w:ind w:left="-567" w:right="-1001"/>
      <w:rPr>
        <w:color w:val="004C8F"/>
        <w:sz w:val="14"/>
        <w:lang w:val="en-GB"/>
      </w:rPr>
    </w:pPr>
    <w:r w:rsidRPr="005B4006">
      <w:rPr>
        <w:color w:val="004C8F"/>
        <w:sz w:val="14"/>
        <w:lang w:val="en-GB"/>
      </w:rPr>
      <w:t>Argentina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Belgium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Canada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France 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Germany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Greece</w:t>
    </w:r>
    <w:r w:rsidRPr="00E4787C">
      <w:rPr>
        <w:color w:val="004C8F"/>
        <w:sz w:val="14"/>
        <w:lang w:val="en-GB"/>
      </w:rPr>
      <w:sym w:font="Symbol" w:char="F0FA"/>
    </w:r>
    <w:r>
      <w:rPr>
        <w:color w:val="004C8F"/>
        <w:sz w:val="14"/>
        <w:lang w:val="en-GB"/>
      </w:rPr>
      <w:t xml:space="preserve"> </w:t>
    </w:r>
    <w:r w:rsidRPr="00E4787C">
      <w:rPr>
        <w:color w:val="004C8F"/>
        <w:sz w:val="14"/>
        <w:lang w:val="en-GB"/>
      </w:rPr>
      <w:t xml:space="preserve">Japan 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</w:t>
    </w:r>
    <w:r>
      <w:rPr>
        <w:color w:val="004C8F"/>
        <w:sz w:val="14"/>
        <w:lang w:val="en-GB"/>
      </w:rPr>
      <w:t>Luxembourg</w:t>
    </w:r>
    <w:r>
      <w:rPr>
        <w:color w:val="004C8F"/>
        <w:sz w:val="14"/>
        <w:lang w:val="en-GB"/>
      </w:rPr>
      <w:sym w:font="Symbol" w:char="F0FA"/>
    </w:r>
    <w:r w:rsidRPr="00C512C6">
      <w:rPr>
        <w:color w:val="004C8F"/>
        <w:sz w:val="14"/>
        <w:lang w:val="en-US"/>
      </w:rPr>
      <w:t xml:space="preserve"> </w:t>
    </w:r>
    <w:r w:rsidRPr="00E4787C">
      <w:rPr>
        <w:color w:val="004C8F"/>
        <w:sz w:val="14"/>
        <w:lang w:val="en-GB"/>
      </w:rPr>
      <w:t>Netherlands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Portugal 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Spain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Sweden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</w:t>
    </w:r>
    <w:r>
      <w:rPr>
        <w:color w:val="004C8F"/>
        <w:sz w:val="14"/>
        <w:lang w:val="en-GB"/>
      </w:rPr>
      <w:br/>
    </w:r>
    <w:r w:rsidRPr="00E4787C">
      <w:rPr>
        <w:color w:val="004C8F"/>
        <w:sz w:val="14"/>
        <w:lang w:val="en-GB"/>
      </w:rPr>
      <w:t>Switzerland</w:t>
    </w:r>
    <w:r w:rsidRPr="00E4787C">
      <w:rPr>
        <w:color w:val="004C8F"/>
        <w:sz w:val="14"/>
        <w:lang w:val="en-GB"/>
      </w:rPr>
      <w:sym w:font="Symbol" w:char="F0FA"/>
    </w:r>
    <w:r w:rsidRPr="00E4787C">
      <w:rPr>
        <w:color w:val="004C8F"/>
        <w:sz w:val="14"/>
        <w:lang w:val="en-GB"/>
      </w:rPr>
      <w:t xml:space="preserve"> United Kingdom</w:t>
    </w:r>
    <w:r>
      <w:rPr>
        <w:color w:val="004C8F"/>
        <w:sz w:val="14"/>
        <w:lang w:val="en-GB"/>
      </w:rPr>
      <w:t xml:space="preserve"> </w:t>
    </w:r>
    <w:r w:rsidRPr="00E4787C">
      <w:rPr>
        <w:color w:val="004C8F"/>
        <w:sz w:val="14"/>
        <w:lang w:val="en-GB"/>
      </w:rPr>
      <w:sym w:font="Symbol" w:char="F0FA"/>
    </w:r>
    <w:r w:rsidR="000865FF">
      <w:rPr>
        <w:color w:val="004C8F"/>
        <w:sz w:val="14"/>
        <w:lang w:val="en-GB"/>
      </w:rPr>
      <w:t xml:space="preserve"> United States of America</w:t>
    </w:r>
  </w:p>
  <w:p w14:paraId="34245FFA" w14:textId="77777777" w:rsidR="000865FF" w:rsidRDefault="000865FF" w:rsidP="000865FF">
    <w:pPr>
      <w:pStyle w:val="En-tte"/>
      <w:tabs>
        <w:tab w:val="clear" w:pos="4536"/>
        <w:tab w:val="clear" w:pos="9072"/>
        <w:tab w:val="right" w:pos="10632"/>
      </w:tabs>
      <w:ind w:left="-567" w:right="-1001"/>
      <w:rPr>
        <w:color w:val="004C8F"/>
        <w:sz w:val="14"/>
        <w:lang w:val="en-GB"/>
      </w:rPr>
    </w:pPr>
  </w:p>
  <w:p w14:paraId="7282CB1D" w14:textId="77777777" w:rsidR="000865FF" w:rsidRPr="00A57823" w:rsidRDefault="000865FF" w:rsidP="000865FF">
    <w:pPr>
      <w:pStyle w:val="En-tte"/>
      <w:tabs>
        <w:tab w:val="right" w:pos="10632"/>
      </w:tabs>
      <w:ind w:left="-567" w:right="-1001"/>
      <w:rPr>
        <w:color w:val="004C8F"/>
        <w:sz w:val="14"/>
      </w:rPr>
    </w:pPr>
    <w:r w:rsidRPr="00A57823">
      <w:rPr>
        <w:color w:val="004C8F"/>
        <w:sz w:val="14"/>
      </w:rPr>
      <w:t>Vie privée – Confidentialité et Sécurité – DPO « privacy@medecinsdumonde.be »</w:t>
    </w:r>
  </w:p>
  <w:p w14:paraId="1EB71AD0" w14:textId="77777777" w:rsidR="000865FF" w:rsidRPr="00A57823" w:rsidRDefault="000865FF" w:rsidP="000865FF">
    <w:pPr>
      <w:pStyle w:val="En-tte"/>
      <w:tabs>
        <w:tab w:val="clear" w:pos="4536"/>
        <w:tab w:val="clear" w:pos="9072"/>
        <w:tab w:val="right" w:pos="10632"/>
      </w:tabs>
      <w:ind w:left="-567" w:right="-1001"/>
      <w:rPr>
        <w:color w:val="004C8F"/>
        <w:sz w:val="14"/>
        <w:lang w:val="nl-BE"/>
      </w:rPr>
    </w:pPr>
    <w:r w:rsidRPr="00A57823">
      <w:rPr>
        <w:color w:val="004C8F"/>
        <w:sz w:val="14"/>
        <w:lang w:val="nl-BE"/>
      </w:rPr>
      <w:t>Privacy - Vertrouwelijkheid en Veiligheid - DPO « privacy@medecinsdumonde.be »</w:t>
    </w:r>
  </w:p>
  <w:p w14:paraId="718C5A07" w14:textId="77777777" w:rsidR="00961DAE" w:rsidRPr="00A57823" w:rsidRDefault="00961DAE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733"/>
    <w:multiLevelType w:val="hybridMultilevel"/>
    <w:tmpl w:val="3862824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948"/>
    <w:multiLevelType w:val="multilevel"/>
    <w:tmpl w:val="D26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86FD9"/>
    <w:multiLevelType w:val="multilevel"/>
    <w:tmpl w:val="6C5A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A75A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1A2B49"/>
    <w:multiLevelType w:val="hybridMultilevel"/>
    <w:tmpl w:val="8312B99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3516FC"/>
    <w:multiLevelType w:val="hybridMultilevel"/>
    <w:tmpl w:val="357EA680"/>
    <w:lvl w:ilvl="0" w:tplc="F3D4C0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0DF5"/>
    <w:multiLevelType w:val="hybridMultilevel"/>
    <w:tmpl w:val="2C3EA546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746BC"/>
    <w:multiLevelType w:val="hybridMultilevel"/>
    <w:tmpl w:val="C28276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0272"/>
    <w:multiLevelType w:val="multilevel"/>
    <w:tmpl w:val="9C96BB2E"/>
    <w:lvl w:ilvl="0">
      <w:start w:val="1"/>
      <w:numFmt w:val="decimal"/>
      <w:pStyle w:val="Titreavecnumration"/>
      <w:lvlText w:val="%1."/>
      <w:lvlJc w:val="left"/>
      <w:pPr>
        <w:ind w:left="360" w:hanging="360"/>
      </w:pPr>
    </w:lvl>
    <w:lvl w:ilvl="1">
      <w:start w:val="1"/>
      <w:numFmt w:val="decimal"/>
      <w:pStyle w:val="Titre1avecnumration"/>
      <w:lvlText w:val="%1.%2."/>
      <w:lvlJc w:val="left"/>
      <w:pPr>
        <w:ind w:left="792" w:hanging="432"/>
      </w:pPr>
    </w:lvl>
    <w:lvl w:ilvl="2">
      <w:start w:val="1"/>
      <w:numFmt w:val="decimal"/>
      <w:pStyle w:val="Titre3avecnumro"/>
      <w:lvlText w:val="%1.%2.%3."/>
      <w:lvlJc w:val="left"/>
      <w:pPr>
        <w:ind w:left="1224" w:hanging="504"/>
      </w:pPr>
    </w:lvl>
    <w:lvl w:ilvl="3">
      <w:start w:val="1"/>
      <w:numFmt w:val="decimal"/>
      <w:pStyle w:val="Titre4avecnumro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167ADD"/>
    <w:multiLevelType w:val="hybridMultilevel"/>
    <w:tmpl w:val="661A4DCC"/>
    <w:lvl w:ilvl="0" w:tplc="3E4C39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50C4E"/>
    <w:multiLevelType w:val="hybridMultilevel"/>
    <w:tmpl w:val="7EB683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5049A"/>
    <w:multiLevelType w:val="multilevel"/>
    <w:tmpl w:val="5BC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284978">
    <w:abstractNumId w:val="7"/>
  </w:num>
  <w:num w:numId="2" w16cid:durableId="106580821">
    <w:abstractNumId w:val="8"/>
  </w:num>
  <w:num w:numId="3" w16cid:durableId="453138411">
    <w:abstractNumId w:val="3"/>
  </w:num>
  <w:num w:numId="4" w16cid:durableId="1521507143">
    <w:abstractNumId w:val="8"/>
    <w:lvlOverride w:ilvl="0">
      <w:startOverride w:val="1"/>
    </w:lvlOverride>
  </w:num>
  <w:num w:numId="5" w16cid:durableId="558786877">
    <w:abstractNumId w:val="8"/>
  </w:num>
  <w:num w:numId="6" w16cid:durableId="1370494797">
    <w:abstractNumId w:val="8"/>
  </w:num>
  <w:num w:numId="7" w16cid:durableId="1431703088">
    <w:abstractNumId w:val="8"/>
  </w:num>
  <w:num w:numId="8" w16cid:durableId="141848433">
    <w:abstractNumId w:val="8"/>
  </w:num>
  <w:num w:numId="9" w16cid:durableId="1296594701">
    <w:abstractNumId w:val="5"/>
  </w:num>
  <w:num w:numId="10" w16cid:durableId="148593913">
    <w:abstractNumId w:val="9"/>
  </w:num>
  <w:num w:numId="11" w16cid:durableId="1180925546">
    <w:abstractNumId w:val="2"/>
  </w:num>
  <w:num w:numId="12" w16cid:durableId="266548180">
    <w:abstractNumId w:val="11"/>
  </w:num>
  <w:num w:numId="13" w16cid:durableId="647518948">
    <w:abstractNumId w:val="0"/>
  </w:num>
  <w:num w:numId="14" w16cid:durableId="62260167">
    <w:abstractNumId w:val="6"/>
  </w:num>
  <w:num w:numId="15" w16cid:durableId="317267443">
    <w:abstractNumId w:val="4"/>
  </w:num>
  <w:num w:numId="16" w16cid:durableId="629550120">
    <w:abstractNumId w:val="1"/>
  </w:num>
  <w:num w:numId="17" w16cid:durableId="168369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BE"/>
    <w:rsid w:val="000115DF"/>
    <w:rsid w:val="000531BA"/>
    <w:rsid w:val="000865FF"/>
    <w:rsid w:val="000A4098"/>
    <w:rsid w:val="000D6202"/>
    <w:rsid w:val="001244D8"/>
    <w:rsid w:val="001A4189"/>
    <w:rsid w:val="001E3126"/>
    <w:rsid w:val="002C2227"/>
    <w:rsid w:val="002C7C51"/>
    <w:rsid w:val="002D6ADE"/>
    <w:rsid w:val="00325C6C"/>
    <w:rsid w:val="00325FED"/>
    <w:rsid w:val="00330222"/>
    <w:rsid w:val="00344C18"/>
    <w:rsid w:val="00360259"/>
    <w:rsid w:val="00377009"/>
    <w:rsid w:val="004010FF"/>
    <w:rsid w:val="00401F7F"/>
    <w:rsid w:val="0040505C"/>
    <w:rsid w:val="00463DEF"/>
    <w:rsid w:val="00486D6A"/>
    <w:rsid w:val="004A38B4"/>
    <w:rsid w:val="004B43AE"/>
    <w:rsid w:val="004E4D47"/>
    <w:rsid w:val="00513292"/>
    <w:rsid w:val="005668C3"/>
    <w:rsid w:val="00580982"/>
    <w:rsid w:val="005D69D3"/>
    <w:rsid w:val="005E0682"/>
    <w:rsid w:val="00641B68"/>
    <w:rsid w:val="00675558"/>
    <w:rsid w:val="006A2530"/>
    <w:rsid w:val="00725422"/>
    <w:rsid w:val="00753A4A"/>
    <w:rsid w:val="007B6C1C"/>
    <w:rsid w:val="00814299"/>
    <w:rsid w:val="0082543C"/>
    <w:rsid w:val="00827ABC"/>
    <w:rsid w:val="0086063C"/>
    <w:rsid w:val="00880F0F"/>
    <w:rsid w:val="008A02DB"/>
    <w:rsid w:val="008A72C0"/>
    <w:rsid w:val="0093340E"/>
    <w:rsid w:val="00935863"/>
    <w:rsid w:val="009373D4"/>
    <w:rsid w:val="00952959"/>
    <w:rsid w:val="00961DAE"/>
    <w:rsid w:val="009877F9"/>
    <w:rsid w:val="009A3285"/>
    <w:rsid w:val="009E25E1"/>
    <w:rsid w:val="009F1B76"/>
    <w:rsid w:val="00A57823"/>
    <w:rsid w:val="00A60739"/>
    <w:rsid w:val="00AB63A9"/>
    <w:rsid w:val="00AD6B6A"/>
    <w:rsid w:val="00B5083F"/>
    <w:rsid w:val="00BE267E"/>
    <w:rsid w:val="00D260D6"/>
    <w:rsid w:val="00DA4752"/>
    <w:rsid w:val="00DD4157"/>
    <w:rsid w:val="00E25FEB"/>
    <w:rsid w:val="00E400FF"/>
    <w:rsid w:val="00E57AA2"/>
    <w:rsid w:val="00E81272"/>
    <w:rsid w:val="00E84BF7"/>
    <w:rsid w:val="00EB0DC7"/>
    <w:rsid w:val="00EC04ED"/>
    <w:rsid w:val="00EC2381"/>
    <w:rsid w:val="00F20E47"/>
    <w:rsid w:val="00F80BBE"/>
    <w:rsid w:val="00FD7B1E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11D1"/>
  <w15:chartTrackingRefBased/>
  <w15:docId w15:val="{8FD140D7-4569-4FC6-B8C5-B09E32F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5D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20E47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0065BD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0E47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209CD8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0E47"/>
    <w:pPr>
      <w:keepNext/>
      <w:keepLines/>
      <w:spacing w:after="0" w:line="240" w:lineRule="auto"/>
      <w:outlineLvl w:val="2"/>
    </w:pPr>
    <w:rPr>
      <w:rFonts w:eastAsiaTheme="majorEastAsia" w:cstheme="majorBidi"/>
      <w:i/>
      <w:color w:val="C6C6BC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C04ED"/>
    <w:pPr>
      <w:keepNext/>
      <w:keepLines/>
      <w:spacing w:before="280" w:after="24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DAE"/>
  </w:style>
  <w:style w:type="paragraph" w:styleId="Pieddepage">
    <w:name w:val="footer"/>
    <w:basedOn w:val="Normal"/>
    <w:link w:val="PieddepageCar"/>
    <w:uiPriority w:val="99"/>
    <w:unhideWhenUsed/>
    <w:rsid w:val="0096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DAE"/>
  </w:style>
  <w:style w:type="paragraph" w:styleId="Sansinterligne">
    <w:name w:val="No Spacing"/>
    <w:aliases w:val="Texte normal"/>
    <w:uiPriority w:val="1"/>
    <w:qFormat/>
    <w:rsid w:val="00B5083F"/>
    <w:pPr>
      <w:spacing w:after="0" w:line="240" w:lineRule="auto"/>
    </w:pPr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F20E47"/>
    <w:pPr>
      <w:pBdr>
        <w:bottom w:val="single" w:sz="12" w:space="1" w:color="auto"/>
      </w:pBd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0E47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20E47"/>
    <w:rPr>
      <w:rFonts w:ascii="Arial" w:eastAsiaTheme="majorEastAsia" w:hAnsi="Arial" w:cstheme="majorBidi"/>
      <w:b/>
      <w:color w:val="0065B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0E47"/>
    <w:rPr>
      <w:rFonts w:ascii="Arial" w:eastAsiaTheme="majorEastAsia" w:hAnsi="Arial" w:cstheme="majorBidi"/>
      <w:b/>
      <w:color w:val="209CD8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20E47"/>
    <w:rPr>
      <w:rFonts w:ascii="Arial" w:eastAsiaTheme="majorEastAsia" w:hAnsi="Arial" w:cstheme="majorBidi"/>
      <w:i/>
      <w:color w:val="C6C6BC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C04ED"/>
    <w:rPr>
      <w:rFonts w:ascii="Arial" w:eastAsiaTheme="majorEastAsia" w:hAnsi="Arial" w:cstheme="majorBidi"/>
      <w:iCs/>
    </w:rPr>
  </w:style>
  <w:style w:type="paragraph" w:customStyle="1" w:styleId="Titre1avecnumration0">
    <w:name w:val="Titre 1 (avec énumération)"/>
    <w:basedOn w:val="Titre"/>
    <w:link w:val="Titre1avecnumrationCar"/>
    <w:rsid w:val="0082543C"/>
  </w:style>
  <w:style w:type="paragraph" w:customStyle="1" w:styleId="Titre1avecnumrotation">
    <w:name w:val="Titre 1 (avec numérotation)"/>
    <w:basedOn w:val="Titre1"/>
    <w:link w:val="Titre1avecnumrotationCar"/>
    <w:rsid w:val="0082543C"/>
  </w:style>
  <w:style w:type="character" w:customStyle="1" w:styleId="Titre1avecnumrationCar">
    <w:name w:val="Titre 1 (avec énumération) Car"/>
    <w:basedOn w:val="TitreCar"/>
    <w:link w:val="Titre1avecnumration0"/>
    <w:rsid w:val="0082543C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rsid w:val="00325FED"/>
    <w:pPr>
      <w:ind w:left="720"/>
      <w:contextualSpacing/>
    </w:pPr>
  </w:style>
  <w:style w:type="character" w:customStyle="1" w:styleId="Titre1avecnumrotationCar">
    <w:name w:val="Titre 1 (avec numérotation) Car"/>
    <w:basedOn w:val="Titre1Car"/>
    <w:link w:val="Titre1avecnumrotation"/>
    <w:rsid w:val="0082543C"/>
    <w:rPr>
      <w:rFonts w:ascii="Arial" w:eastAsiaTheme="majorEastAsia" w:hAnsi="Arial" w:cstheme="majorBidi"/>
      <w:b/>
      <w:color w:val="0065BD"/>
      <w:sz w:val="32"/>
      <w:szCs w:val="32"/>
    </w:rPr>
  </w:style>
  <w:style w:type="paragraph" w:customStyle="1" w:styleId="Titre1avecnumration">
    <w:name w:val="Titre 1 (avec numération)"/>
    <w:basedOn w:val="Titre1avecnumrotation"/>
    <w:link w:val="Titre1avecnumrationCar0"/>
    <w:rsid w:val="00325FED"/>
    <w:pPr>
      <w:numPr>
        <w:ilvl w:val="1"/>
        <w:numId w:val="2"/>
      </w:numPr>
    </w:pPr>
  </w:style>
  <w:style w:type="paragraph" w:customStyle="1" w:styleId="Titreavecnumration">
    <w:name w:val="Titre (avec numération)"/>
    <w:basedOn w:val="Titre1avecnumration0"/>
    <w:link w:val="TitreavecnumrationCar"/>
    <w:rsid w:val="00325FED"/>
    <w:pPr>
      <w:numPr>
        <w:numId w:val="2"/>
      </w:numPr>
    </w:pPr>
  </w:style>
  <w:style w:type="character" w:customStyle="1" w:styleId="Titre1avecnumrationCar0">
    <w:name w:val="Titre 1 (avec numération) Car"/>
    <w:basedOn w:val="Titre1avecnumrotationCar"/>
    <w:link w:val="Titre1avecnumration"/>
    <w:rsid w:val="00325FED"/>
    <w:rPr>
      <w:rFonts w:ascii="Arial" w:eastAsiaTheme="majorEastAsia" w:hAnsi="Arial" w:cstheme="majorBidi"/>
      <w:b/>
      <w:color w:val="0065BD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rsid w:val="00EC2381"/>
    <w:pPr>
      <w:outlineLvl w:val="9"/>
    </w:pPr>
    <w:rPr>
      <w:rFonts w:asciiTheme="majorHAnsi" w:hAnsiTheme="majorHAnsi"/>
      <w:b w:val="0"/>
      <w:color w:val="2E74B5" w:themeColor="accent1" w:themeShade="BF"/>
      <w:lang w:eastAsia="fr-BE"/>
    </w:rPr>
  </w:style>
  <w:style w:type="character" w:customStyle="1" w:styleId="TitreavecnumrationCar">
    <w:name w:val="Titre (avec numération) Car"/>
    <w:basedOn w:val="Titre1avecnumrationCar"/>
    <w:link w:val="Titreavecnumration"/>
    <w:rsid w:val="00325FED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TM1">
    <w:name w:val="toc 1"/>
    <w:basedOn w:val="Normal"/>
    <w:next w:val="Normal"/>
    <w:autoRedefine/>
    <w:uiPriority w:val="39"/>
    <w:unhideWhenUsed/>
    <w:rsid w:val="00EC23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238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C2381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EC2381"/>
    <w:rPr>
      <w:color w:val="0563C1" w:themeColor="hyperlink"/>
      <w:u w:val="single"/>
    </w:rPr>
  </w:style>
  <w:style w:type="paragraph" w:customStyle="1" w:styleId="Titre1avecnumro">
    <w:name w:val="Titre 1 (avec numéro)"/>
    <w:basedOn w:val="Titreavecnumration"/>
    <w:link w:val="Titre1avecnumroCar"/>
    <w:qFormat/>
    <w:rsid w:val="00F20E47"/>
    <w:pPr>
      <w:pBdr>
        <w:bottom w:val="none" w:sz="0" w:space="0" w:color="auto"/>
      </w:pBdr>
      <w:ind w:left="567" w:hanging="567"/>
    </w:pPr>
    <w:rPr>
      <w:color w:val="0065BD"/>
      <w:sz w:val="32"/>
    </w:rPr>
  </w:style>
  <w:style w:type="paragraph" w:customStyle="1" w:styleId="Titre2avecnumro">
    <w:name w:val="Titre 2 (avec numéro)"/>
    <w:basedOn w:val="Titre1avecnumration"/>
    <w:link w:val="Titre2avecnumroCar"/>
    <w:qFormat/>
    <w:rsid w:val="00F20E47"/>
    <w:pPr>
      <w:ind w:left="567" w:hanging="567"/>
    </w:pPr>
    <w:rPr>
      <w:color w:val="209CD8"/>
      <w:sz w:val="26"/>
      <w:szCs w:val="26"/>
      <w:u w:val="single"/>
    </w:rPr>
  </w:style>
  <w:style w:type="character" w:customStyle="1" w:styleId="Titre1avecnumroCar">
    <w:name w:val="Titre 1 (avec numéro) Car"/>
    <w:basedOn w:val="TitreavecnumrationCar"/>
    <w:link w:val="Titre1avecnumro"/>
    <w:rsid w:val="00F20E47"/>
    <w:rPr>
      <w:rFonts w:ascii="Arial" w:eastAsiaTheme="majorEastAsia" w:hAnsi="Arial" w:cstheme="majorBidi"/>
      <w:b/>
      <w:color w:val="0065BD"/>
      <w:spacing w:val="-10"/>
      <w:kern w:val="28"/>
      <w:sz w:val="32"/>
      <w:szCs w:val="56"/>
    </w:rPr>
  </w:style>
  <w:style w:type="paragraph" w:customStyle="1" w:styleId="Titre3avecnumro">
    <w:name w:val="Titre 3 (avec numéro)"/>
    <w:basedOn w:val="Titre1avecnumration"/>
    <w:link w:val="Titre3avecnumroCar"/>
    <w:qFormat/>
    <w:rsid w:val="00F20E47"/>
    <w:pPr>
      <w:numPr>
        <w:ilvl w:val="2"/>
      </w:numPr>
      <w:ind w:left="567" w:hanging="567"/>
    </w:pPr>
    <w:rPr>
      <w:b w:val="0"/>
      <w:i/>
      <w:color w:val="C6C6BC"/>
      <w:sz w:val="24"/>
      <w:szCs w:val="24"/>
    </w:rPr>
  </w:style>
  <w:style w:type="character" w:customStyle="1" w:styleId="Titre2avecnumroCar">
    <w:name w:val="Titre 2 (avec numéro) Car"/>
    <w:basedOn w:val="Titre1avecnumrationCar0"/>
    <w:link w:val="Titre2avecnumro"/>
    <w:rsid w:val="00F20E47"/>
    <w:rPr>
      <w:rFonts w:ascii="Arial" w:eastAsiaTheme="majorEastAsia" w:hAnsi="Arial" w:cstheme="majorBidi"/>
      <w:b/>
      <w:color w:val="209CD8"/>
      <w:sz w:val="26"/>
      <w:szCs w:val="26"/>
      <w:u w:val="single"/>
    </w:rPr>
  </w:style>
  <w:style w:type="paragraph" w:customStyle="1" w:styleId="Titre4avecnumro">
    <w:name w:val="Titre 4 (avec numéro)"/>
    <w:basedOn w:val="Titre3avecnumro"/>
    <w:link w:val="Titre4avecnumroCar"/>
    <w:rsid w:val="00EC04ED"/>
    <w:pPr>
      <w:numPr>
        <w:ilvl w:val="3"/>
      </w:numPr>
      <w:ind w:left="1644" w:hanging="567"/>
    </w:pPr>
    <w:rPr>
      <w:color w:val="auto"/>
      <w:sz w:val="22"/>
    </w:rPr>
  </w:style>
  <w:style w:type="character" w:customStyle="1" w:styleId="Titre3avecnumroCar">
    <w:name w:val="Titre 3 (avec numéro) Car"/>
    <w:basedOn w:val="Titre1avecnumrationCar0"/>
    <w:link w:val="Titre3avecnumro"/>
    <w:rsid w:val="00F20E47"/>
    <w:rPr>
      <w:rFonts w:ascii="Arial" w:eastAsiaTheme="majorEastAsia" w:hAnsi="Arial" w:cstheme="majorBidi"/>
      <w:b w:val="0"/>
      <w:i/>
      <w:color w:val="C6C6BC"/>
      <w:sz w:val="24"/>
      <w:szCs w:val="24"/>
    </w:rPr>
  </w:style>
  <w:style w:type="character" w:customStyle="1" w:styleId="Titre4avecnumroCar">
    <w:name w:val="Titre 4 (avec numéro) Car"/>
    <w:basedOn w:val="Titre3avecnumroCar"/>
    <w:link w:val="Titre4avecnumro"/>
    <w:rsid w:val="00EC04ED"/>
    <w:rPr>
      <w:rFonts w:ascii="Arial" w:eastAsiaTheme="majorEastAsia" w:hAnsi="Arial" w:cstheme="majorBidi"/>
      <w:b w:val="0"/>
      <w:i/>
      <w:color w:val="C6C6BC"/>
      <w:sz w:val="24"/>
      <w:szCs w:val="24"/>
      <w:u w:val="single"/>
    </w:rPr>
  </w:style>
  <w:style w:type="table" w:styleId="Grilledutableau">
    <w:name w:val="Table Grid"/>
    <w:basedOn w:val="TableauNormal"/>
    <w:rsid w:val="00F80BB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F80BB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" w:eastAsia="Arial Unicode MS" w:hAnsi="Arial" w:cs="Arial Unicode MS"/>
      <w:color w:val="001111"/>
      <w:sz w:val="20"/>
      <w:szCs w:val="20"/>
      <w:u w:color="001111"/>
      <w:bdr w:val="nil"/>
      <w:lang w:val="fr-FR" w:eastAsia="fr-FR"/>
    </w:rPr>
  </w:style>
  <w:style w:type="paragraph" w:styleId="Rvision">
    <w:name w:val="Revision"/>
    <w:hidden/>
    <w:uiPriority w:val="99"/>
    <w:semiHidden/>
    <w:rsid w:val="00DD4157"/>
    <w:pPr>
      <w:spacing w:after="0" w:line="240" w:lineRule="auto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DA47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47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475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47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475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ltancy@medecinsdumonde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ncy@medecinsdumonde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70E361103A44B639099DCC60A878" ma:contentTypeVersion="0" ma:contentTypeDescription="Crée un document." ma:contentTypeScope="" ma:versionID="bc8099543a609e55a22a4fb4c6395b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DAEC0-9ED0-41F0-93FF-FD08F6118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C9A80-F120-4EB0-8FD6-E4FC47B7B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725C5-15D0-4194-9B4E-170D5BEB3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E7F34-0604-40A9-A003-88DD11074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1362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DESRUES</dc:creator>
  <cp:keywords/>
  <dc:description/>
  <cp:lastModifiedBy>Julie Desrues</cp:lastModifiedBy>
  <cp:revision>7</cp:revision>
  <dcterms:created xsi:type="dcterms:W3CDTF">2025-05-28T07:49:00Z</dcterms:created>
  <dcterms:modified xsi:type="dcterms:W3CDTF">2025-05-30T09:13:00Z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0x010100B4AC70E361103A44B639099DCC60A878</vt:lpwstr>
  </property>
</Properties>
</file>