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BFFFA" w14:textId="77777777" w:rsidR="0033511A" w:rsidRDefault="0033511A" w:rsidP="0033511A">
      <w:pPr>
        <w:pStyle w:val="Concordsous-titre"/>
        <w:rPr>
          <w:rFonts w:eastAsiaTheme="majorEastAsia" w:cstheme="majorBidi"/>
          <w:bCs/>
          <w:caps/>
          <w:color w:val="C00000"/>
          <w:spacing w:val="5"/>
          <w:sz w:val="32"/>
          <w:lang w:eastAsia="zh-TW" w:bidi="fr-FR"/>
        </w:rPr>
      </w:pPr>
    </w:p>
    <w:p w14:paraId="58A9A52C" w14:textId="77777777" w:rsidR="0033511A" w:rsidRPr="0033511A" w:rsidRDefault="0033511A" w:rsidP="0033511A">
      <w:pPr>
        <w:pStyle w:val="Concordsous-titre"/>
        <w:rPr>
          <w:rFonts w:eastAsiaTheme="majorEastAsia" w:cstheme="majorBidi"/>
          <w:bCs/>
          <w:caps/>
          <w:color w:val="C00000"/>
          <w:spacing w:val="5"/>
          <w:sz w:val="32"/>
          <w:lang w:eastAsia="zh-TW" w:bidi="fr-FR"/>
        </w:rPr>
      </w:pPr>
      <w:r w:rsidRPr="0033511A">
        <w:rPr>
          <w:rFonts w:eastAsiaTheme="majorEastAsia" w:cstheme="majorBidi"/>
          <w:bCs/>
          <w:caps/>
          <w:color w:val="C00000"/>
          <w:spacing w:val="5"/>
          <w:sz w:val="32"/>
          <w:lang w:eastAsia="zh-TW" w:bidi="fr-FR"/>
        </w:rPr>
        <w:t xml:space="preserve">Résumé des politiques de développement clés de l'UE </w:t>
      </w:r>
    </w:p>
    <w:p w14:paraId="4F3DB204" w14:textId="2CD3D0FF" w:rsidR="0033511A" w:rsidRPr="0033511A" w:rsidRDefault="0033511A" w:rsidP="0033511A">
      <w:pPr>
        <w:ind w:left="-567"/>
        <w:rPr>
          <w:rFonts w:ascii="Arial" w:hAnsi="Arial" w:cs="Arial"/>
          <w:b/>
          <w:color w:val="E36C0A" w:themeColor="accent6" w:themeShade="BF"/>
          <w:sz w:val="26"/>
          <w:szCs w:val="26"/>
          <w:lang w:val="en-GB" w:bidi="fr-FR"/>
        </w:rPr>
      </w:pPr>
      <w:r w:rsidRPr="0033511A">
        <w:rPr>
          <w:rFonts w:ascii="Arial" w:hAnsi="Arial" w:cs="Arial"/>
          <w:b/>
          <w:color w:val="E36C0A" w:themeColor="accent6" w:themeShade="BF"/>
          <w:sz w:val="26"/>
          <w:szCs w:val="26"/>
          <w:lang w:val="en-GB" w:bidi="fr-FR"/>
        </w:rPr>
        <w:t xml:space="preserve">Accroître l'impact de la politique de développement de l'UE : </w:t>
      </w:r>
      <w:r>
        <w:rPr>
          <w:rFonts w:ascii="Arial" w:hAnsi="Arial" w:cs="Arial"/>
          <w:b/>
          <w:color w:val="E36C0A" w:themeColor="accent6" w:themeShade="BF"/>
          <w:sz w:val="26"/>
          <w:szCs w:val="26"/>
          <w:lang w:val="en-GB" w:bidi="fr-FR"/>
        </w:rPr>
        <w:br/>
      </w:r>
      <w:r w:rsidRPr="0033511A">
        <w:rPr>
          <w:rFonts w:ascii="Arial" w:hAnsi="Arial" w:cs="Arial"/>
          <w:b/>
          <w:color w:val="E36C0A" w:themeColor="accent6" w:themeShade="BF"/>
          <w:sz w:val="26"/>
          <w:szCs w:val="26"/>
          <w:lang w:val="en-GB" w:bidi="fr-FR"/>
        </w:rPr>
        <w:t xml:space="preserve">un programme pour le changement, 14 mai 2012 </w:t>
      </w:r>
      <w:r w:rsidRPr="0033511A">
        <w:rPr>
          <w:rFonts w:ascii="Arial" w:hAnsi="Arial" w:cs="Arial"/>
          <w:b/>
          <w:color w:val="E36C0A" w:themeColor="accent6" w:themeShade="BF"/>
          <w:sz w:val="26"/>
          <w:szCs w:val="26"/>
          <w:vertAlign w:val="superscript"/>
          <w:lang w:val="en-GB" w:bidi="fr-FR"/>
        </w:rPr>
        <w:footnoteReference w:id="1"/>
      </w:r>
    </w:p>
    <w:p w14:paraId="10EB3267" w14:textId="77777777" w:rsidR="0033511A" w:rsidRPr="00BE567A" w:rsidRDefault="0033511A" w:rsidP="0033511A">
      <w:pPr>
        <w:rPr>
          <w:rFonts w:ascii="Arial" w:hAnsi="Arial" w:cs="Arial"/>
        </w:rPr>
      </w:pPr>
      <w:r w:rsidRPr="00BE567A">
        <w:rPr>
          <w:rFonts w:ascii="Arial" w:hAnsi="Arial" w:cs="Arial"/>
        </w:rPr>
        <w:t xml:space="preserve">Ce document guide la conception et la mise en œuvre des instruments pour l'action extérieure au titre du cadre financier pluriannuel 2014-2020. Il prévoit comment l'UE devrait aborder les défis liés au développement afin d'avoir une plus grande incidence à travers un certain nombre de domaines clés </w:t>
      </w:r>
      <w:proofErr w:type="gramStart"/>
      <w:r w:rsidRPr="00BE567A">
        <w:rPr>
          <w:rFonts w:ascii="Arial" w:hAnsi="Arial" w:cs="Arial"/>
        </w:rPr>
        <w:t>prioritaires :</w:t>
      </w:r>
      <w:proofErr w:type="gramEnd"/>
      <w:r w:rsidRPr="00BE567A">
        <w:rPr>
          <w:rFonts w:ascii="Arial" w:hAnsi="Arial" w:cs="Arial"/>
        </w:rPr>
        <w:t xml:space="preserve"> </w:t>
      </w:r>
    </w:p>
    <w:p w14:paraId="29F948B3" w14:textId="77777777" w:rsidR="0033511A" w:rsidRPr="00BE567A" w:rsidRDefault="0033511A" w:rsidP="0033511A">
      <w:pPr>
        <w:autoSpaceDE w:val="0"/>
        <w:autoSpaceDN w:val="0"/>
        <w:adjustRightInd w:val="0"/>
        <w:spacing w:after="0" w:line="240" w:lineRule="auto"/>
        <w:rPr>
          <w:rFonts w:ascii="Arial" w:hAnsi="Arial" w:cs="Arial"/>
          <w:b/>
        </w:rPr>
      </w:pPr>
      <w:r w:rsidRPr="00BE567A">
        <w:rPr>
          <w:rFonts w:ascii="Arial" w:hAnsi="Arial" w:cs="Arial"/>
        </w:rPr>
        <w:t xml:space="preserve">Il affirme </w:t>
      </w:r>
      <w:r w:rsidRPr="00BE567A">
        <w:rPr>
          <w:rFonts w:ascii="Arial" w:hAnsi="Arial" w:cs="Arial"/>
          <w:b/>
        </w:rPr>
        <w:t xml:space="preserve">une </w:t>
      </w:r>
      <w:r w:rsidRPr="00BE567A">
        <w:rPr>
          <w:rFonts w:ascii="Arial" w:hAnsi="Arial" w:cs="Arial"/>
          <w:b/>
          <w:u w:val="single"/>
        </w:rPr>
        <w:t>vision partagée de l'action pour le développement</w:t>
      </w:r>
      <w:r w:rsidRPr="00BE567A">
        <w:rPr>
          <w:rFonts w:ascii="Arial" w:hAnsi="Arial" w:cs="Arial"/>
          <w:b/>
        </w:rPr>
        <w:t xml:space="preserve"> par l'UE, à </w:t>
      </w:r>
      <w:proofErr w:type="gramStart"/>
      <w:r w:rsidRPr="00BE567A">
        <w:rPr>
          <w:rFonts w:ascii="Arial" w:hAnsi="Arial" w:cs="Arial"/>
          <w:b/>
        </w:rPr>
        <w:t>savoir :</w:t>
      </w:r>
      <w:proofErr w:type="gramEnd"/>
      <w:r w:rsidRPr="00BE567A">
        <w:rPr>
          <w:rFonts w:ascii="Arial" w:hAnsi="Arial" w:cs="Arial"/>
          <w:b/>
        </w:rPr>
        <w:t xml:space="preserve"> </w:t>
      </w:r>
    </w:p>
    <w:p w14:paraId="5B66C61B"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rPr>
        <w:t xml:space="preserve">Promouvoir les </w:t>
      </w:r>
      <w:r w:rsidRPr="00BE567A">
        <w:rPr>
          <w:rFonts w:ascii="Arial" w:hAnsi="Arial" w:cs="Arial"/>
          <w:b/>
        </w:rPr>
        <w:t xml:space="preserve">droits de l'homme, la démocratie, l'État de droit et une bonne gouvernance </w:t>
      </w:r>
      <w:r w:rsidRPr="00BE567A">
        <w:rPr>
          <w:rFonts w:ascii="Arial" w:hAnsi="Arial" w:cs="Arial"/>
        </w:rPr>
        <w:t xml:space="preserve">et </w:t>
      </w:r>
      <w:r w:rsidRPr="00BE567A">
        <w:rPr>
          <w:rFonts w:ascii="Arial" w:hAnsi="Arial" w:cs="Arial"/>
          <w:b/>
        </w:rPr>
        <w:t>une croissance inclusive et durable</w:t>
      </w:r>
      <w:r w:rsidRPr="00BE567A">
        <w:rPr>
          <w:rFonts w:ascii="Arial" w:hAnsi="Arial" w:cs="Arial"/>
        </w:rPr>
        <w:t xml:space="preserve"> comme les deux piliers de base de la politique qui devraient recevoir un soutien renforcé. </w:t>
      </w:r>
    </w:p>
    <w:p w14:paraId="10CAD3CD"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rPr>
        <w:t xml:space="preserve">Le </w:t>
      </w:r>
      <w:r w:rsidRPr="00BE567A">
        <w:rPr>
          <w:rFonts w:ascii="Arial" w:hAnsi="Arial" w:cs="Arial"/>
          <w:b/>
        </w:rPr>
        <w:t>soutien de l'UE à la gouvernance</w:t>
      </w:r>
      <w:r w:rsidRPr="00BE567A">
        <w:rPr>
          <w:rFonts w:ascii="Arial" w:hAnsi="Arial" w:cs="Arial"/>
        </w:rPr>
        <w:t xml:space="preserve"> devrait figurer de manière plus visible dans tous les partenariats. Cela demande une approche fondée sur les droits, qui promeut en particulier le droit d'accéder aux services de base, la participation aux processus politiques démocratiques, la transparence et l'obligation de rendre des comptes, la justice et l'État de droit, et qui met l'accent sur les groupes pauvres et vulnérables. </w:t>
      </w:r>
    </w:p>
    <w:p w14:paraId="502C18B8"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rPr>
        <w:t xml:space="preserve">Promouvoir un environnement favorable pour une </w:t>
      </w:r>
      <w:r w:rsidRPr="00BE567A">
        <w:rPr>
          <w:rFonts w:ascii="Arial" w:hAnsi="Arial" w:cs="Arial"/>
          <w:b/>
        </w:rPr>
        <w:t>société civile active,</w:t>
      </w:r>
      <w:r w:rsidRPr="00BE567A">
        <w:rPr>
          <w:rFonts w:ascii="Arial" w:hAnsi="Arial" w:cs="Arial"/>
        </w:rPr>
        <w:t xml:space="preserve"> indépendante et plurielle </w:t>
      </w:r>
    </w:p>
    <w:p w14:paraId="46BD1BFE"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b/>
        </w:rPr>
        <w:t>l'égalité des sexes</w:t>
      </w:r>
      <w:r w:rsidRPr="00BE567A">
        <w:rPr>
          <w:rFonts w:ascii="Arial" w:hAnsi="Arial" w:cs="Arial"/>
        </w:rPr>
        <w:t xml:space="preserve">, l'autonomisation des femmes à travers un dialogue intégrant le genre et des actions spécifiques </w:t>
      </w:r>
    </w:p>
    <w:p w14:paraId="5FE7AE3F"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rPr>
        <w:t xml:space="preserve">Les droits des </w:t>
      </w:r>
      <w:r w:rsidRPr="00BE567A">
        <w:rPr>
          <w:rFonts w:ascii="Arial" w:hAnsi="Arial" w:cs="Arial"/>
          <w:b/>
        </w:rPr>
        <w:t>jeunes gens et des enfants</w:t>
      </w:r>
      <w:r w:rsidRPr="00BE567A">
        <w:rPr>
          <w:rFonts w:ascii="Arial" w:hAnsi="Arial" w:cs="Arial"/>
        </w:rPr>
        <w:t xml:space="preserve"> et les opportunités les concernant doivent être favorisés </w:t>
      </w:r>
    </w:p>
    <w:p w14:paraId="561491F5"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rPr>
        <w:t xml:space="preserve">Mettre l'accent sur une </w:t>
      </w:r>
      <w:r w:rsidRPr="00BE567A">
        <w:rPr>
          <w:rFonts w:ascii="Arial" w:hAnsi="Arial" w:cs="Arial"/>
          <w:b/>
        </w:rPr>
        <w:t>croissance inclusive et durable</w:t>
      </w:r>
      <w:r w:rsidRPr="00BE567A">
        <w:rPr>
          <w:rFonts w:ascii="Arial" w:hAnsi="Arial" w:cs="Arial"/>
        </w:rPr>
        <w:t xml:space="preserve">, à travers la protection sociale, la santé et l'éducation </w:t>
      </w:r>
    </w:p>
    <w:p w14:paraId="6E30537F"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rPr>
        <w:t xml:space="preserve">Mettre l'accent sur des secteurs qui détiennent un </w:t>
      </w:r>
      <w:r w:rsidRPr="00BE567A">
        <w:rPr>
          <w:rFonts w:ascii="Arial" w:hAnsi="Arial" w:cs="Arial"/>
          <w:b/>
        </w:rPr>
        <w:t>effet démultiplicateur</w:t>
      </w:r>
      <w:r w:rsidRPr="00BE567A">
        <w:rPr>
          <w:rFonts w:ascii="Arial" w:hAnsi="Arial" w:cs="Arial"/>
        </w:rPr>
        <w:t xml:space="preserve"> fort dans les pays en développement, notamment l'agriculture et l'énergie durables, y compris la gestion des ressources naturelles</w:t>
      </w:r>
    </w:p>
    <w:p w14:paraId="4F0013C4"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b/>
        </w:rPr>
        <w:t>Promouvoir le secteur privé comme clé pour le développement</w:t>
      </w:r>
      <w:r w:rsidRPr="00BE567A">
        <w:rPr>
          <w:rFonts w:ascii="Arial" w:hAnsi="Arial" w:cs="Arial"/>
        </w:rPr>
        <w:t xml:space="preserve"> - Cela doit être accompagné de la promotion des droits du travail, d'un travail décent et de la responsabilité sociale des entreprises. </w:t>
      </w:r>
    </w:p>
    <w:p w14:paraId="51031DF2"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rPr>
        <w:t xml:space="preserve">Maintenir l'accent sur les </w:t>
      </w:r>
      <w:r w:rsidRPr="00BE567A">
        <w:rPr>
          <w:rFonts w:ascii="Arial" w:hAnsi="Arial" w:cs="Arial"/>
          <w:b/>
        </w:rPr>
        <w:t>états fragiles</w:t>
      </w:r>
      <w:r w:rsidRPr="00BE567A">
        <w:rPr>
          <w:rFonts w:ascii="Arial" w:hAnsi="Arial" w:cs="Arial"/>
        </w:rPr>
        <w:t xml:space="preserve"> et les soutenir </w:t>
      </w:r>
    </w:p>
    <w:p w14:paraId="7FA09B49"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rPr>
        <w:t xml:space="preserve">Intégrer la </w:t>
      </w:r>
      <w:r w:rsidRPr="00BE567A">
        <w:rPr>
          <w:rFonts w:ascii="Arial" w:hAnsi="Arial" w:cs="Arial"/>
          <w:b/>
        </w:rPr>
        <w:t>résilience</w:t>
      </w:r>
      <w:r w:rsidRPr="00BE567A">
        <w:rPr>
          <w:rFonts w:ascii="Arial" w:hAnsi="Arial" w:cs="Arial"/>
        </w:rPr>
        <w:t xml:space="preserve"> et la réduction des risques de </w:t>
      </w:r>
      <w:r w:rsidRPr="00BE567A">
        <w:rPr>
          <w:rFonts w:ascii="Arial" w:hAnsi="Arial" w:cs="Arial"/>
          <w:b/>
        </w:rPr>
        <w:t>catastrophe</w:t>
      </w:r>
      <w:r w:rsidRPr="00BE567A">
        <w:rPr>
          <w:rFonts w:ascii="Arial" w:hAnsi="Arial" w:cs="Arial"/>
        </w:rPr>
        <w:t xml:space="preserve"> aux programmes de développement et faire le lien avec l'aide humanitaire et la coopération au développement.</w:t>
      </w:r>
    </w:p>
    <w:p w14:paraId="4F723F92"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b/>
          <w:u w:val="single"/>
        </w:rPr>
      </w:pPr>
      <w:r w:rsidRPr="00BE567A">
        <w:rPr>
          <w:rFonts w:ascii="Arial" w:hAnsi="Arial" w:cs="Arial"/>
          <w:u w:val="single"/>
        </w:rPr>
        <w:t xml:space="preserve">Il souligne une </w:t>
      </w:r>
      <w:r w:rsidRPr="00BE567A">
        <w:rPr>
          <w:rFonts w:ascii="Arial" w:hAnsi="Arial" w:cs="Arial"/>
          <w:b/>
          <w:u w:val="single"/>
        </w:rPr>
        <w:t xml:space="preserve">concentration sectorielle et un ciblage des ressources </w:t>
      </w:r>
    </w:p>
    <w:p w14:paraId="6CFDAE36"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rPr>
        <w:t xml:space="preserve">Les ressources doivent être affectées aux pays qui en ont </w:t>
      </w:r>
      <w:r w:rsidRPr="00BE567A">
        <w:rPr>
          <w:rFonts w:ascii="Arial" w:hAnsi="Arial" w:cs="Arial"/>
          <w:b/>
        </w:rPr>
        <w:t>le plus besoin</w:t>
      </w:r>
      <w:r w:rsidRPr="00BE567A">
        <w:rPr>
          <w:rFonts w:ascii="Arial" w:hAnsi="Arial" w:cs="Arial"/>
        </w:rPr>
        <w:t>, y compris ceux qui se trouvent dans des situations de fragilité</w:t>
      </w:r>
    </w:p>
    <w:p w14:paraId="5B113637"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rPr>
        <w:t xml:space="preserve">Mobiliser de nouvelles ressources et accroître l'impact à travers la promotion de </w:t>
      </w:r>
      <w:r w:rsidRPr="00BE567A">
        <w:rPr>
          <w:rFonts w:ascii="Arial" w:hAnsi="Arial" w:cs="Arial"/>
          <w:b/>
        </w:rPr>
        <w:t>nouveaux outils financiers</w:t>
      </w:r>
      <w:r w:rsidRPr="00BE567A">
        <w:rPr>
          <w:rFonts w:ascii="Arial" w:hAnsi="Arial" w:cs="Arial"/>
        </w:rPr>
        <w:t>, par ex. en mêlant subventions et prêts et autres instruments de partage des risques.</w:t>
      </w:r>
    </w:p>
    <w:p w14:paraId="3E59CBB3"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b/>
          <w:u w:val="single"/>
        </w:rPr>
      </w:pPr>
      <w:r w:rsidRPr="00BE567A">
        <w:rPr>
          <w:rFonts w:ascii="Arial" w:hAnsi="Arial" w:cs="Arial"/>
          <w:b/>
          <w:u w:val="single"/>
        </w:rPr>
        <w:t>Travailler mieux ensemble</w:t>
      </w:r>
    </w:p>
    <w:p w14:paraId="15E86533"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rPr>
        <w:t xml:space="preserve">Réduire la fragmentation de l'aide, </w:t>
      </w:r>
      <w:r w:rsidRPr="00BE567A">
        <w:rPr>
          <w:rFonts w:ascii="Arial" w:hAnsi="Arial" w:cs="Arial"/>
          <w:b/>
        </w:rPr>
        <w:t>améliorer la coordination</w:t>
      </w:r>
      <w:r w:rsidRPr="00BE567A">
        <w:rPr>
          <w:rFonts w:ascii="Arial" w:hAnsi="Arial" w:cs="Arial"/>
        </w:rPr>
        <w:t xml:space="preserve"> et produire des résultats de développements concrets </w:t>
      </w:r>
    </w:p>
    <w:p w14:paraId="0F7F20D5"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rPr>
        <w:t xml:space="preserve">Promouvoir </w:t>
      </w:r>
      <w:r w:rsidRPr="00BE567A">
        <w:rPr>
          <w:rFonts w:ascii="Arial" w:hAnsi="Arial" w:cs="Arial"/>
          <w:b/>
        </w:rPr>
        <w:t>une approche commune fondée sur les résultats</w:t>
      </w:r>
      <w:r w:rsidRPr="00BE567A">
        <w:rPr>
          <w:rFonts w:ascii="Arial" w:hAnsi="Arial" w:cs="Arial"/>
        </w:rPr>
        <w:t>, utiliser des cadres renforcés fondés sur les résultats au niveau national, et renforcer leurs capacités pour contrôler et évaluer les résultats.</w:t>
      </w:r>
    </w:p>
    <w:p w14:paraId="1B1B53E9" w14:textId="77777777" w:rsidR="0033511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rPr>
        <w:t xml:space="preserve">La </w:t>
      </w:r>
      <w:r w:rsidRPr="00BE567A">
        <w:rPr>
          <w:rFonts w:ascii="Arial" w:hAnsi="Arial" w:cs="Arial"/>
          <w:b/>
        </w:rPr>
        <w:t>Cohérence des politiques pour le développement (CPD)</w:t>
      </w:r>
      <w:r w:rsidRPr="00BE567A">
        <w:rPr>
          <w:rFonts w:ascii="Arial" w:hAnsi="Arial" w:cs="Arial"/>
        </w:rPr>
        <w:t xml:space="preserve"> doit s'améliorer et portera sur le commerce et la finance, le changement climatique, la sécurité alimentaire, la migration et la sécurité </w:t>
      </w:r>
    </w:p>
    <w:p w14:paraId="581596DB" w14:textId="77777777" w:rsidR="0033511A" w:rsidRDefault="0033511A" w:rsidP="0033511A">
      <w:pPr>
        <w:autoSpaceDE w:val="0"/>
        <w:autoSpaceDN w:val="0"/>
        <w:adjustRightInd w:val="0"/>
        <w:spacing w:after="0" w:line="240" w:lineRule="auto"/>
        <w:jc w:val="left"/>
        <w:rPr>
          <w:rFonts w:ascii="Arial" w:hAnsi="Arial" w:cs="Arial"/>
        </w:rPr>
      </w:pPr>
    </w:p>
    <w:p w14:paraId="614CBB7A" w14:textId="77777777" w:rsidR="0033511A" w:rsidRPr="0033511A" w:rsidRDefault="0033511A" w:rsidP="0033511A">
      <w:pPr>
        <w:autoSpaceDE w:val="0"/>
        <w:autoSpaceDN w:val="0"/>
        <w:adjustRightInd w:val="0"/>
        <w:spacing w:after="0" w:line="240" w:lineRule="auto"/>
        <w:jc w:val="left"/>
        <w:rPr>
          <w:rFonts w:ascii="Arial" w:hAnsi="Arial" w:cs="Arial"/>
        </w:rPr>
      </w:pPr>
    </w:p>
    <w:p w14:paraId="026EE4E5" w14:textId="77777777" w:rsidR="0033511A" w:rsidRPr="00BE567A" w:rsidRDefault="0033511A" w:rsidP="0033511A">
      <w:pPr>
        <w:pStyle w:val="Pardeliste"/>
        <w:numPr>
          <w:ilvl w:val="0"/>
          <w:numId w:val="33"/>
        </w:numPr>
        <w:autoSpaceDE w:val="0"/>
        <w:autoSpaceDN w:val="0"/>
        <w:adjustRightInd w:val="0"/>
        <w:spacing w:after="0" w:line="240" w:lineRule="auto"/>
        <w:ind w:left="0"/>
        <w:jc w:val="left"/>
        <w:rPr>
          <w:rFonts w:ascii="Arial" w:hAnsi="Arial" w:cs="Arial"/>
        </w:rPr>
      </w:pPr>
      <w:r w:rsidRPr="00BE567A">
        <w:rPr>
          <w:rFonts w:ascii="Arial" w:hAnsi="Arial" w:cs="Arial"/>
          <w:b/>
        </w:rPr>
        <w:t>Lien développement-migration -</w:t>
      </w:r>
      <w:r w:rsidRPr="00BE567A">
        <w:rPr>
          <w:rFonts w:ascii="Arial" w:hAnsi="Arial" w:cs="Arial"/>
        </w:rPr>
        <w:t xml:space="preserve"> L'UE devrait aider les pays en développement à renforcer leurs politiques, capacités et activités dans le domaine de la migration, de la mobilité et de l'emploi</w:t>
      </w:r>
    </w:p>
    <w:p w14:paraId="734FD119" w14:textId="77777777" w:rsidR="0033511A" w:rsidRPr="00BE567A" w:rsidRDefault="0033511A" w:rsidP="0033511A">
      <w:pPr>
        <w:rPr>
          <w:rFonts w:ascii="Arial" w:hAnsi="Arial" w:cs="Arial"/>
          <w:b/>
        </w:rPr>
      </w:pPr>
    </w:p>
    <w:p w14:paraId="3FA105F9" w14:textId="77777777" w:rsidR="0033511A" w:rsidRDefault="0033511A" w:rsidP="0033511A">
      <w:pPr>
        <w:autoSpaceDE w:val="0"/>
        <w:autoSpaceDN w:val="0"/>
        <w:adjustRightInd w:val="0"/>
        <w:spacing w:after="0" w:line="240" w:lineRule="auto"/>
        <w:ind w:left="-567"/>
        <w:rPr>
          <w:rFonts w:ascii="Arial" w:hAnsi="Arial" w:cs="Arial"/>
          <w:b/>
          <w:color w:val="E36C0A" w:themeColor="accent6" w:themeShade="BF"/>
          <w:sz w:val="26"/>
          <w:szCs w:val="26"/>
          <w:lang w:val="en-GB" w:bidi="fr-FR"/>
        </w:rPr>
      </w:pPr>
      <w:r w:rsidRPr="0033511A">
        <w:rPr>
          <w:rFonts w:ascii="Arial" w:hAnsi="Arial" w:cs="Arial"/>
          <w:b/>
          <w:color w:val="E36C0A" w:themeColor="accent6" w:themeShade="BF"/>
          <w:sz w:val="26"/>
          <w:szCs w:val="26"/>
          <w:lang w:val="en-GB" w:bidi="fr-FR"/>
        </w:rPr>
        <w:t xml:space="preserve">Plan d'action en faveur des droits de l'homme et de la démocratie </w:t>
      </w:r>
    </w:p>
    <w:p w14:paraId="7F552828" w14:textId="77777777" w:rsidR="0033511A" w:rsidRPr="0033511A" w:rsidRDefault="0033511A" w:rsidP="0033511A">
      <w:pPr>
        <w:autoSpaceDE w:val="0"/>
        <w:autoSpaceDN w:val="0"/>
        <w:adjustRightInd w:val="0"/>
        <w:spacing w:after="0" w:line="240" w:lineRule="auto"/>
        <w:ind w:left="-567"/>
        <w:rPr>
          <w:rFonts w:ascii="Arial" w:hAnsi="Arial" w:cs="Arial"/>
          <w:b/>
          <w:color w:val="E36C0A" w:themeColor="accent6" w:themeShade="BF"/>
          <w:sz w:val="26"/>
          <w:szCs w:val="26"/>
          <w:lang w:val="en-GB" w:bidi="fr-FR"/>
        </w:rPr>
      </w:pPr>
    </w:p>
    <w:p w14:paraId="10BD857B" w14:textId="77777777" w:rsidR="0033511A" w:rsidRPr="00BE567A" w:rsidRDefault="0033511A" w:rsidP="0033511A">
      <w:pPr>
        <w:autoSpaceDE w:val="0"/>
        <w:autoSpaceDN w:val="0"/>
        <w:adjustRightInd w:val="0"/>
        <w:spacing w:after="0" w:line="240" w:lineRule="auto"/>
        <w:ind w:left="-567"/>
        <w:rPr>
          <w:rFonts w:ascii="Arial" w:hAnsi="Arial" w:cs="Arial"/>
        </w:rPr>
      </w:pPr>
      <w:r w:rsidRPr="00BE567A">
        <w:rPr>
          <w:rFonts w:ascii="Arial" w:hAnsi="Arial" w:cs="Arial"/>
        </w:rPr>
        <w:t>Adopté en juillet 2015, ce plan d'action couvre la période 2015-2019 et met en exergue le travail de l'Union européenne pour promouvoir et protéger les droits de l'homme et soutenir la démocratie à travers le monde.</w:t>
      </w:r>
      <w:r w:rsidRPr="00BE567A">
        <w:rPr>
          <w:rFonts w:ascii="Arial" w:hAnsi="Arial" w:cs="Arial"/>
          <w:color w:val="000000"/>
          <w:sz w:val="23"/>
        </w:rPr>
        <w:t xml:space="preserve"> </w:t>
      </w:r>
      <w:r w:rsidRPr="00BE567A">
        <w:rPr>
          <w:rFonts w:ascii="Arial" w:hAnsi="Arial" w:cs="Arial"/>
        </w:rPr>
        <w:t xml:space="preserve">Il devrait conduire à des actions de l'UE plus ciblées en faveur des droits de l'homme et de la démocratie, car il apportera la garantie que le travail est aligné sur le plan - ce qui devrait mener à un usage coordonné des instruments de l'UE, et un plus grand impact de ses politiques et outils sur le terrain. </w:t>
      </w:r>
    </w:p>
    <w:p w14:paraId="51B6836B" w14:textId="77777777" w:rsidR="0033511A" w:rsidRPr="00BE567A" w:rsidRDefault="0033511A" w:rsidP="0033511A">
      <w:pPr>
        <w:autoSpaceDE w:val="0"/>
        <w:autoSpaceDN w:val="0"/>
        <w:adjustRightInd w:val="0"/>
        <w:spacing w:after="0" w:line="240" w:lineRule="auto"/>
        <w:ind w:left="-567"/>
        <w:rPr>
          <w:rFonts w:ascii="Arial" w:hAnsi="Arial" w:cs="Arial"/>
        </w:rPr>
      </w:pPr>
    </w:p>
    <w:p w14:paraId="61DC8180" w14:textId="77777777" w:rsidR="0033511A" w:rsidRPr="00BE567A" w:rsidRDefault="0033511A" w:rsidP="0033511A">
      <w:pPr>
        <w:autoSpaceDE w:val="0"/>
        <w:autoSpaceDN w:val="0"/>
        <w:adjustRightInd w:val="0"/>
        <w:spacing w:after="0" w:line="240" w:lineRule="auto"/>
        <w:ind w:left="-567"/>
        <w:rPr>
          <w:rFonts w:ascii="Arial" w:hAnsi="Arial" w:cs="Arial"/>
        </w:rPr>
      </w:pPr>
      <w:r w:rsidRPr="00BE567A">
        <w:rPr>
          <w:rFonts w:ascii="Arial" w:hAnsi="Arial" w:cs="Arial"/>
        </w:rPr>
        <w:t xml:space="preserve">Le Plan d'Action couvre un large éventail de sujets allant des droits des enfants et la promotion de l'égalité des sexes, au soutien de l'intégrité des processus électoraux et la lutte contre la torture, les mauvais traitements et la peine de mort. </w:t>
      </w:r>
    </w:p>
    <w:p w14:paraId="6360FF56" w14:textId="77777777" w:rsidR="0033511A" w:rsidRPr="00BE567A" w:rsidRDefault="0033511A" w:rsidP="0033511A">
      <w:pPr>
        <w:autoSpaceDE w:val="0"/>
        <w:autoSpaceDN w:val="0"/>
        <w:adjustRightInd w:val="0"/>
        <w:spacing w:after="0" w:line="240" w:lineRule="auto"/>
        <w:ind w:left="-567"/>
        <w:rPr>
          <w:rFonts w:ascii="Arial" w:hAnsi="Arial" w:cs="Arial"/>
        </w:rPr>
      </w:pPr>
    </w:p>
    <w:p w14:paraId="1B307F67" w14:textId="77777777" w:rsidR="0033511A" w:rsidRPr="00BE567A" w:rsidRDefault="0033511A" w:rsidP="0033511A">
      <w:pPr>
        <w:autoSpaceDE w:val="0"/>
        <w:autoSpaceDN w:val="0"/>
        <w:adjustRightInd w:val="0"/>
        <w:spacing w:after="0" w:line="240" w:lineRule="auto"/>
        <w:ind w:left="-567"/>
        <w:rPr>
          <w:rFonts w:ascii="Arial" w:hAnsi="Arial" w:cs="Arial"/>
        </w:rPr>
      </w:pPr>
      <w:r w:rsidRPr="00BE567A">
        <w:rPr>
          <w:rFonts w:ascii="Arial" w:hAnsi="Arial" w:cs="Arial"/>
        </w:rPr>
        <w:t xml:space="preserve">Il est important de comprendre et de référencer les parties pertinentes du plan d'action lors du développement de propositions, car il est lié à tous les instruments de l'action extérieure et de la coopération au développement de l'UE. Par exemple, le plan indique que l'action extérieure et la coopération au développement doivent donner la priorité aux actions visant la protection des femmes et des filles à travers des activités qui favorisent la protection de leurs droits fondamentaux et l'élimination de la violence. Lorsque vous soumettez une proposition sur les VFFF, vous devez vous reporter à cette partie du plan d'action afin de démontrer qu'elle s'aligne sur les politiques de l'UE et augmenter les chances de recevoir un financement. </w:t>
      </w:r>
    </w:p>
    <w:p w14:paraId="5254ABD3" w14:textId="77777777" w:rsidR="00CC2584" w:rsidRPr="00CC2584" w:rsidRDefault="00CC2584" w:rsidP="00CC2584">
      <w:pPr>
        <w:autoSpaceDE w:val="0"/>
        <w:autoSpaceDN w:val="0"/>
        <w:adjustRightInd w:val="0"/>
        <w:spacing w:after="0" w:line="240" w:lineRule="auto"/>
        <w:ind w:left="-567"/>
        <w:rPr>
          <w:rFonts w:ascii="Arial" w:hAnsi="Arial" w:cs="Arial"/>
          <w:lang w:val="en-GB" w:eastAsia="zh-TW"/>
        </w:rPr>
      </w:pPr>
    </w:p>
    <w:p w14:paraId="2B431C6B" w14:textId="4B7D0862" w:rsidR="0033511A" w:rsidRPr="0033511A" w:rsidRDefault="0033511A" w:rsidP="0033511A">
      <w:pPr>
        <w:ind w:left="-567"/>
        <w:rPr>
          <w:rFonts w:ascii="Arial" w:hAnsi="Arial" w:cs="Arial"/>
          <w:b/>
          <w:color w:val="E36C0A" w:themeColor="accent6" w:themeShade="BF"/>
          <w:sz w:val="26"/>
          <w:szCs w:val="26"/>
          <w:lang w:val="en-GB" w:bidi="fr-FR"/>
        </w:rPr>
      </w:pPr>
      <w:r w:rsidRPr="0033511A">
        <w:rPr>
          <w:rFonts w:ascii="Arial" w:hAnsi="Arial" w:cs="Arial"/>
          <w:b/>
          <w:color w:val="E36C0A" w:themeColor="accent6" w:themeShade="BF"/>
          <w:sz w:val="26"/>
          <w:szCs w:val="26"/>
          <w:lang w:val="en-GB" w:bidi="fr-FR"/>
        </w:rPr>
        <w:t xml:space="preserve">Conclusions du Conseil sur une approche de la coopération au développement fondée sur les droits, englobant tous les droits de l'homme, </w:t>
      </w:r>
      <w:r>
        <w:rPr>
          <w:rFonts w:ascii="Arial" w:hAnsi="Arial" w:cs="Arial"/>
          <w:b/>
          <w:color w:val="E36C0A" w:themeColor="accent6" w:themeShade="BF"/>
          <w:sz w:val="26"/>
          <w:szCs w:val="26"/>
          <w:lang w:val="en-GB" w:bidi="fr-FR"/>
        </w:rPr>
        <w:br/>
      </w:r>
      <w:r w:rsidRPr="0033511A">
        <w:rPr>
          <w:rFonts w:ascii="Arial" w:hAnsi="Arial" w:cs="Arial"/>
          <w:b/>
          <w:color w:val="E36C0A" w:themeColor="accent6" w:themeShade="BF"/>
          <w:sz w:val="26"/>
          <w:szCs w:val="26"/>
          <w:lang w:val="en-GB" w:bidi="fr-FR"/>
        </w:rPr>
        <w:t xml:space="preserve">19 mai 2014 </w:t>
      </w:r>
      <w:r w:rsidRPr="0033511A">
        <w:rPr>
          <w:rFonts w:ascii="Arial" w:hAnsi="Arial" w:cs="Arial"/>
          <w:b/>
          <w:color w:val="E36C0A" w:themeColor="accent6" w:themeShade="BF"/>
          <w:sz w:val="26"/>
          <w:szCs w:val="26"/>
          <w:vertAlign w:val="superscript"/>
          <w:lang w:val="en-GB" w:bidi="fr-FR"/>
        </w:rPr>
        <w:footnoteReference w:id="2"/>
      </w:r>
    </w:p>
    <w:p w14:paraId="24BC7F27" w14:textId="77777777" w:rsidR="0033511A" w:rsidRPr="00BE567A" w:rsidRDefault="0033511A" w:rsidP="0033511A">
      <w:pPr>
        <w:ind w:left="-567"/>
        <w:rPr>
          <w:rFonts w:ascii="Arial" w:hAnsi="Arial" w:cs="Arial"/>
          <w:b/>
        </w:rPr>
      </w:pPr>
      <w:r w:rsidRPr="00BE567A">
        <w:rPr>
          <w:rFonts w:ascii="Arial" w:hAnsi="Arial" w:cs="Arial"/>
        </w:rPr>
        <w:t xml:space="preserve">Ce document présente le point de vue de l'UE selon lequel une approche de la coopération au développement fondée sur les droits peut contribuer de façon significative à la réalisation des droits de l'homme. Cette approche repose sur les principes et normes relatifs aux droits de l'homme qui sont à la fois un moyen et une fin d'une coopération au développement efficace. Il change l'approche analytique et </w:t>
      </w:r>
      <w:r w:rsidRPr="00BE567A">
        <w:rPr>
          <w:rFonts w:ascii="Arial" w:hAnsi="Arial" w:cs="Arial"/>
          <w:b/>
        </w:rPr>
        <w:t>intègre l'accomplissement et l'épanouissement des droits de l'homme dans la conception, la mise en œuvre, le suivi et l'évaluation de toutes les politiques et programmes de développement.</w:t>
      </w:r>
    </w:p>
    <w:p w14:paraId="6E66BA8E" w14:textId="77777777" w:rsidR="0033511A" w:rsidRPr="00BE567A" w:rsidRDefault="0033511A" w:rsidP="0033511A">
      <w:pPr>
        <w:ind w:left="-567"/>
        <w:rPr>
          <w:rFonts w:ascii="Arial" w:hAnsi="Arial" w:cs="Arial"/>
        </w:rPr>
      </w:pPr>
      <w:r w:rsidRPr="00BE567A">
        <w:rPr>
          <w:rFonts w:ascii="Arial" w:hAnsi="Arial" w:cs="Arial"/>
        </w:rPr>
        <w:t xml:space="preserve">La mise en œuvre d'une approche fondée sur les droits de la coopération au développement, soutenue par la </w:t>
      </w:r>
      <w:hyperlink r:id="rId7">
        <w:r w:rsidRPr="00BE567A">
          <w:rPr>
            <w:rStyle w:val="Lienhypertexte"/>
            <w:rFonts w:ascii="Arial" w:hAnsi="Arial" w:cs="Arial"/>
          </w:rPr>
          <w:t>Boîte à outils</w:t>
        </w:r>
      </w:hyperlink>
      <w:r w:rsidRPr="00BE567A">
        <w:rPr>
          <w:rFonts w:ascii="Arial" w:hAnsi="Arial" w:cs="Arial"/>
        </w:rPr>
        <w:t xml:space="preserve"> de l'UE sur l'approche fondée sur les droits, nécessite que les personnes élaborant des projets UE fassent les choses suivantes pour informer le cycle du projet entier : </w:t>
      </w:r>
    </w:p>
    <w:p w14:paraId="760FCD0C" w14:textId="77777777" w:rsidR="0033511A" w:rsidRPr="00BE567A" w:rsidRDefault="0033511A" w:rsidP="0033511A">
      <w:pPr>
        <w:pStyle w:val="Pardeliste"/>
        <w:numPr>
          <w:ilvl w:val="0"/>
          <w:numId w:val="33"/>
        </w:numPr>
        <w:spacing w:after="160" w:line="259" w:lineRule="auto"/>
        <w:ind w:left="-567" w:firstLine="0"/>
        <w:rPr>
          <w:rFonts w:ascii="Arial" w:hAnsi="Arial" w:cs="Arial"/>
        </w:rPr>
      </w:pPr>
      <w:r w:rsidRPr="00BE567A">
        <w:rPr>
          <w:rFonts w:ascii="Arial" w:hAnsi="Arial" w:cs="Arial"/>
        </w:rPr>
        <w:t>une évaluation de la situation des droits de l'homme liée au contexte, qui examine les écarts de capacité des responsables à respecter, protéger et garantir les droits de l'homme et des ayant droit à savoir, exercer et revendiquer leurs droits. Ceci est entrepris afin d'identifier les causes de la pauvreté et de l'exclusion sociale et devrait inclure une analyse de la question des sexes.</w:t>
      </w:r>
    </w:p>
    <w:p w14:paraId="573A421D" w14:textId="77777777" w:rsidR="0033511A" w:rsidRPr="00BE567A" w:rsidRDefault="0033511A" w:rsidP="0033511A">
      <w:pPr>
        <w:pStyle w:val="Pardeliste"/>
        <w:numPr>
          <w:ilvl w:val="0"/>
          <w:numId w:val="33"/>
        </w:numPr>
        <w:spacing w:after="160" w:line="259" w:lineRule="auto"/>
        <w:ind w:left="-567" w:firstLine="0"/>
        <w:rPr>
          <w:rFonts w:ascii="Arial" w:hAnsi="Arial" w:cs="Arial"/>
        </w:rPr>
      </w:pPr>
      <w:r w:rsidRPr="00BE567A">
        <w:rPr>
          <w:rFonts w:ascii="Arial" w:hAnsi="Arial" w:cs="Arial"/>
        </w:rPr>
        <w:t>Elle doit également utiliser la stratégie de l'UE par pays en matière de droits de l'homme, afin de garantir que le respect des droits de l'homme soit partie intégrante de l'identification, la conception, la mise en œuvre, le suivi et l'évaluation de toutes les politiques et projets de développement.</w:t>
      </w:r>
    </w:p>
    <w:p w14:paraId="178A4EDB" w14:textId="77777777" w:rsidR="0033511A" w:rsidRDefault="0033511A" w:rsidP="0033511A">
      <w:pPr>
        <w:ind w:left="-567"/>
        <w:rPr>
          <w:rFonts w:ascii="Arial" w:hAnsi="Arial" w:cs="Arial"/>
        </w:rPr>
      </w:pPr>
    </w:p>
    <w:p w14:paraId="71073D01" w14:textId="77777777" w:rsidR="0033511A" w:rsidRPr="00BE567A" w:rsidRDefault="0033511A" w:rsidP="0033511A">
      <w:pPr>
        <w:ind w:left="-567"/>
        <w:rPr>
          <w:rFonts w:ascii="Arial" w:hAnsi="Arial" w:cs="Arial"/>
        </w:rPr>
      </w:pPr>
      <w:r w:rsidRPr="00BE567A">
        <w:rPr>
          <w:rFonts w:ascii="Arial" w:hAnsi="Arial" w:cs="Arial"/>
        </w:rPr>
        <w:t xml:space="preserve">D'autres éléments clés de l'approche de la coopération au développement de l'UE fondée sur les droits de </w:t>
      </w:r>
      <w:proofErr w:type="gramStart"/>
      <w:r w:rsidRPr="00BE567A">
        <w:rPr>
          <w:rFonts w:ascii="Arial" w:hAnsi="Arial" w:cs="Arial"/>
        </w:rPr>
        <w:t>l'homme :</w:t>
      </w:r>
      <w:proofErr w:type="gramEnd"/>
      <w:r w:rsidRPr="00BE567A">
        <w:rPr>
          <w:rFonts w:ascii="Arial" w:hAnsi="Arial" w:cs="Arial"/>
        </w:rPr>
        <w:t xml:space="preserve"> </w:t>
      </w:r>
    </w:p>
    <w:p w14:paraId="3DBC53D6" w14:textId="77777777" w:rsidR="0033511A" w:rsidRPr="00BE567A" w:rsidRDefault="0033511A" w:rsidP="0033511A">
      <w:pPr>
        <w:pStyle w:val="Pardeliste"/>
        <w:numPr>
          <w:ilvl w:val="0"/>
          <w:numId w:val="33"/>
        </w:numPr>
        <w:spacing w:after="160" w:line="259" w:lineRule="auto"/>
        <w:ind w:left="-567" w:firstLine="0"/>
        <w:rPr>
          <w:rFonts w:ascii="Arial" w:hAnsi="Arial" w:cs="Arial"/>
        </w:rPr>
      </w:pPr>
      <w:r w:rsidRPr="00BE567A">
        <w:rPr>
          <w:rFonts w:ascii="Arial" w:hAnsi="Arial" w:cs="Arial"/>
        </w:rPr>
        <w:t xml:space="preserve">dialogue politique et stratégique cohérent avec toutes les parties prenantes au niveau du pays </w:t>
      </w:r>
    </w:p>
    <w:p w14:paraId="7CE917F9" w14:textId="77777777" w:rsidR="0033511A" w:rsidRPr="00BE567A" w:rsidRDefault="0033511A" w:rsidP="0033511A">
      <w:pPr>
        <w:pStyle w:val="Pardeliste"/>
        <w:numPr>
          <w:ilvl w:val="0"/>
          <w:numId w:val="33"/>
        </w:numPr>
        <w:spacing w:after="160" w:line="259" w:lineRule="auto"/>
        <w:ind w:left="-567" w:firstLine="0"/>
        <w:rPr>
          <w:rFonts w:ascii="Arial" w:hAnsi="Arial" w:cs="Arial"/>
        </w:rPr>
      </w:pPr>
      <w:r w:rsidRPr="00BE567A">
        <w:rPr>
          <w:rFonts w:ascii="Arial" w:hAnsi="Arial" w:cs="Arial"/>
        </w:rPr>
        <w:t xml:space="preserve">rôle fondamental de la société civile dans la promotion des droits </w:t>
      </w:r>
    </w:p>
    <w:p w14:paraId="1549A67E" w14:textId="77777777" w:rsidR="0033511A" w:rsidRPr="00BE567A" w:rsidRDefault="0033511A" w:rsidP="0033511A">
      <w:pPr>
        <w:pStyle w:val="Pardeliste"/>
        <w:numPr>
          <w:ilvl w:val="0"/>
          <w:numId w:val="33"/>
        </w:numPr>
        <w:spacing w:after="160" w:line="259" w:lineRule="auto"/>
        <w:ind w:left="-567" w:firstLine="0"/>
        <w:rPr>
          <w:rFonts w:ascii="Arial" w:hAnsi="Arial" w:cs="Arial"/>
        </w:rPr>
      </w:pPr>
      <w:r w:rsidRPr="00BE567A">
        <w:rPr>
          <w:rFonts w:ascii="Arial" w:hAnsi="Arial" w:cs="Arial"/>
        </w:rPr>
        <w:t>le secteur privé doit respecter les droits de l'homme, l'UE influencera les principes de l'ONU sur le commerce et les droits de l'homme</w:t>
      </w:r>
    </w:p>
    <w:p w14:paraId="2FFFD3B1" w14:textId="77777777" w:rsidR="0033511A" w:rsidRPr="0033511A" w:rsidRDefault="0033511A" w:rsidP="0033511A">
      <w:pPr>
        <w:pStyle w:val="Pardeliste"/>
        <w:numPr>
          <w:ilvl w:val="0"/>
          <w:numId w:val="33"/>
        </w:numPr>
        <w:autoSpaceDE w:val="0"/>
        <w:autoSpaceDN w:val="0"/>
        <w:adjustRightInd w:val="0"/>
        <w:spacing w:after="0" w:line="240" w:lineRule="auto"/>
        <w:ind w:left="-567" w:firstLine="0"/>
        <w:rPr>
          <w:rFonts w:ascii="Arial" w:eastAsiaTheme="majorEastAsia" w:hAnsi="Arial" w:cs="Arial"/>
          <w:b/>
          <w:color w:val="365F91" w:themeColor="accent1" w:themeShade="BF"/>
          <w:spacing w:val="-10"/>
          <w:kern w:val="28"/>
          <w:sz w:val="28"/>
          <w:szCs w:val="28"/>
          <w:lang w:val="en-GB"/>
        </w:rPr>
      </w:pPr>
      <w:r w:rsidRPr="00BE567A">
        <w:rPr>
          <w:rFonts w:ascii="Arial" w:hAnsi="Arial" w:cs="Arial"/>
        </w:rPr>
        <w:t xml:space="preserve">cohérence politique pour le développement - une évaluation de l'impact sur les droits de l'homme doit être conduite pour tous les accords commerciaux et d'investissement. </w:t>
      </w:r>
    </w:p>
    <w:p w14:paraId="7804B9AD" w14:textId="77777777" w:rsidR="0033511A" w:rsidRDefault="0033511A" w:rsidP="0033511A">
      <w:pPr>
        <w:autoSpaceDE w:val="0"/>
        <w:autoSpaceDN w:val="0"/>
        <w:adjustRightInd w:val="0"/>
        <w:spacing w:after="0" w:line="240" w:lineRule="auto"/>
        <w:rPr>
          <w:rFonts w:ascii="Arial" w:hAnsi="Arial" w:cs="Arial"/>
          <w:b/>
          <w:color w:val="365F91" w:themeColor="accent1" w:themeShade="BF"/>
          <w:sz w:val="28"/>
          <w:szCs w:val="28"/>
          <w:lang w:val="en-GB"/>
        </w:rPr>
      </w:pPr>
    </w:p>
    <w:p w14:paraId="4BF19A82" w14:textId="685424E5" w:rsidR="00CC2584" w:rsidRPr="0033511A" w:rsidRDefault="00CC2584" w:rsidP="0033511A">
      <w:pPr>
        <w:autoSpaceDE w:val="0"/>
        <w:autoSpaceDN w:val="0"/>
        <w:adjustRightInd w:val="0"/>
        <w:spacing w:after="0" w:line="240" w:lineRule="auto"/>
        <w:rPr>
          <w:rFonts w:ascii="Arial" w:eastAsiaTheme="majorEastAsia" w:hAnsi="Arial" w:cs="Arial"/>
          <w:b/>
          <w:color w:val="365F91" w:themeColor="accent1" w:themeShade="BF"/>
          <w:spacing w:val="-10"/>
          <w:kern w:val="28"/>
          <w:sz w:val="28"/>
          <w:szCs w:val="28"/>
          <w:lang w:val="en-GB"/>
        </w:rPr>
      </w:pPr>
    </w:p>
    <w:p w14:paraId="32BD5F73" w14:textId="77777777" w:rsidR="0033511A" w:rsidRPr="0033511A" w:rsidRDefault="0033511A" w:rsidP="0033511A">
      <w:pPr>
        <w:autoSpaceDE w:val="0"/>
        <w:autoSpaceDN w:val="0"/>
        <w:adjustRightInd w:val="0"/>
        <w:spacing w:after="0" w:line="240" w:lineRule="auto"/>
        <w:ind w:left="-567"/>
        <w:rPr>
          <w:rFonts w:ascii="Arial" w:hAnsi="Arial" w:cs="Arial"/>
          <w:b/>
          <w:color w:val="E36C0A" w:themeColor="accent6" w:themeShade="BF"/>
          <w:sz w:val="26"/>
          <w:szCs w:val="26"/>
          <w:lang w:val="en-GB" w:bidi="fr-FR"/>
        </w:rPr>
      </w:pPr>
      <w:r w:rsidRPr="0033511A">
        <w:rPr>
          <w:rFonts w:ascii="Arial" w:hAnsi="Arial" w:cs="Arial"/>
          <w:b/>
          <w:color w:val="E36C0A" w:themeColor="accent6" w:themeShade="BF"/>
          <w:sz w:val="26"/>
          <w:szCs w:val="26"/>
          <w:lang w:val="en-GB" w:bidi="fr-FR"/>
        </w:rPr>
        <w:t>Plan d'action de l'UE sur l'égalité des sexes, septembre 2015</w:t>
      </w:r>
    </w:p>
    <w:p w14:paraId="51F0B44A" w14:textId="77777777" w:rsidR="0033511A" w:rsidRPr="00BE567A" w:rsidRDefault="0033511A" w:rsidP="0033511A">
      <w:pPr>
        <w:ind w:left="-567"/>
        <w:rPr>
          <w:rFonts w:ascii="Arial" w:hAnsi="Arial" w:cs="Arial"/>
        </w:rPr>
      </w:pPr>
      <w:hyperlink r:id="rId8">
        <w:r w:rsidRPr="00BE567A">
          <w:rPr>
            <w:rStyle w:val="Lienhypertexte"/>
            <w:rFonts w:ascii="Arial" w:hAnsi="Arial" w:cs="Arial"/>
          </w:rPr>
          <w:t>https://ec.europa.eu/europeaid/joint-staff-working-document-gender-equality-and-womens-empowerment-transforming-lives-girls-and_en</w:t>
        </w:r>
      </w:hyperlink>
      <w:r w:rsidRPr="00BE567A">
        <w:rPr>
          <w:rFonts w:ascii="Arial" w:hAnsi="Arial" w:cs="Arial"/>
        </w:rPr>
        <w:t xml:space="preserve"> </w:t>
      </w:r>
    </w:p>
    <w:p w14:paraId="2015DA93" w14:textId="77777777" w:rsidR="0033511A" w:rsidRPr="00BE567A" w:rsidRDefault="0033511A" w:rsidP="0033511A">
      <w:pPr>
        <w:ind w:left="-567"/>
        <w:rPr>
          <w:rFonts w:ascii="Arial" w:hAnsi="Arial" w:cs="Arial"/>
          <w:bCs/>
        </w:rPr>
      </w:pPr>
      <w:r w:rsidRPr="00BE567A">
        <w:rPr>
          <w:rFonts w:ascii="Arial" w:hAnsi="Arial" w:cs="Arial"/>
        </w:rPr>
        <w:t xml:space="preserve">Le document de travail commun des services « Égalité des sexes et émancipation des </w:t>
      </w:r>
      <w:proofErr w:type="gramStart"/>
      <w:r w:rsidRPr="00BE567A">
        <w:rPr>
          <w:rFonts w:ascii="Arial" w:hAnsi="Arial" w:cs="Arial"/>
        </w:rPr>
        <w:t>femmes :</w:t>
      </w:r>
      <w:proofErr w:type="gramEnd"/>
      <w:r w:rsidRPr="00BE567A">
        <w:rPr>
          <w:rFonts w:ascii="Arial" w:hAnsi="Arial" w:cs="Arial"/>
        </w:rPr>
        <w:t xml:space="preserve"> Transformer la vie des filles et des femmes à travers les relations extérieures de l'UE (2016-2020) » est aussi connu sous le nom de Plan d'action sur l'égalité des sexes 2016-2020. Il guide la mise en œuvre des engagements politiques et stratégiques de l'UE en matière d'égalité des sexes dans l'action extérieure dans les pays tiers, et il relève de la responsabilité commune de la Commission et du Service européen pour l'action extérieure (SEAE) en coordination avec les États membres de l'UE. </w:t>
      </w:r>
    </w:p>
    <w:p w14:paraId="016EF7E6" w14:textId="77777777" w:rsidR="0033511A" w:rsidRPr="00BE567A" w:rsidRDefault="0033511A" w:rsidP="0033511A">
      <w:pPr>
        <w:pStyle w:val="Normalweb"/>
        <w:shd w:val="clear" w:color="auto" w:fill="FFFFFF"/>
        <w:spacing w:before="60" w:beforeAutospacing="0" w:after="60" w:afterAutospacing="0" w:line="300" w:lineRule="atLeast"/>
        <w:ind w:left="-567"/>
        <w:jc w:val="both"/>
        <w:rPr>
          <w:rFonts w:ascii="Arial" w:eastAsiaTheme="minorHAnsi" w:hAnsi="Arial" w:cs="Arial"/>
          <w:bCs/>
          <w:sz w:val="22"/>
          <w:szCs w:val="22"/>
        </w:rPr>
      </w:pPr>
      <w:r w:rsidRPr="00BE567A">
        <w:rPr>
          <w:rFonts w:ascii="Arial" w:eastAsiaTheme="minorHAnsi" w:hAnsi="Arial" w:cs="Arial"/>
          <w:sz w:val="22"/>
        </w:rPr>
        <w:t>Ce document comprend quatre domaines centraux qui peuvent transformer la vie des femmes et des filles, il inclut un pilier horizontal (A) et trois piliers thématiques (B-D) :</w:t>
      </w:r>
    </w:p>
    <w:p w14:paraId="1928D267" w14:textId="77777777" w:rsidR="0033511A" w:rsidRPr="00BE567A" w:rsidRDefault="0033511A" w:rsidP="0033511A">
      <w:pPr>
        <w:numPr>
          <w:ilvl w:val="0"/>
          <w:numId w:val="34"/>
        </w:numPr>
        <w:shd w:val="clear" w:color="auto" w:fill="FFFFFF"/>
        <w:spacing w:after="120" w:line="300" w:lineRule="atLeast"/>
        <w:ind w:left="-567" w:firstLine="0"/>
        <w:rPr>
          <w:rFonts w:ascii="Arial" w:eastAsiaTheme="minorHAnsi" w:hAnsi="Arial" w:cs="Arial"/>
          <w:bCs/>
        </w:rPr>
      </w:pPr>
      <w:r w:rsidRPr="00BE567A">
        <w:rPr>
          <w:rFonts w:ascii="Arial" w:hAnsi="Arial" w:cs="Arial"/>
        </w:rPr>
        <w:t>Modifier la culture institutionnelle pour remplir de façon plus efficace les engagements de l'UE.</w:t>
      </w:r>
    </w:p>
    <w:p w14:paraId="4E1C7476" w14:textId="77777777" w:rsidR="0033511A" w:rsidRPr="00BE567A" w:rsidRDefault="0033511A" w:rsidP="0033511A">
      <w:pPr>
        <w:numPr>
          <w:ilvl w:val="0"/>
          <w:numId w:val="34"/>
        </w:numPr>
        <w:shd w:val="clear" w:color="auto" w:fill="FFFFFF"/>
        <w:spacing w:after="120" w:line="300" w:lineRule="atLeast"/>
        <w:ind w:left="-567" w:firstLine="0"/>
        <w:rPr>
          <w:rFonts w:ascii="Arial" w:hAnsi="Arial" w:cs="Arial"/>
          <w:bCs/>
        </w:rPr>
      </w:pPr>
      <w:r w:rsidRPr="00BE567A">
        <w:rPr>
          <w:rFonts w:ascii="Arial" w:hAnsi="Arial" w:cs="Arial"/>
        </w:rPr>
        <w:t>Garantir l'intégrité physique et psychologique des filles et des femmes</w:t>
      </w:r>
    </w:p>
    <w:p w14:paraId="34ACBD4E" w14:textId="77777777" w:rsidR="0033511A" w:rsidRPr="00BE567A" w:rsidRDefault="0033511A" w:rsidP="0033511A">
      <w:pPr>
        <w:numPr>
          <w:ilvl w:val="0"/>
          <w:numId w:val="34"/>
        </w:numPr>
        <w:shd w:val="clear" w:color="auto" w:fill="FFFFFF"/>
        <w:spacing w:after="120" w:line="300" w:lineRule="atLeast"/>
        <w:ind w:left="-567" w:firstLine="0"/>
        <w:rPr>
          <w:rFonts w:ascii="Arial" w:hAnsi="Arial" w:cs="Arial"/>
          <w:bCs/>
        </w:rPr>
      </w:pPr>
      <w:r w:rsidRPr="00BE567A">
        <w:rPr>
          <w:rFonts w:ascii="Arial" w:hAnsi="Arial" w:cs="Arial"/>
        </w:rPr>
        <w:t>Promouvoir les droits sociaux et économiques / l'autonomisation des filles et des femmes</w:t>
      </w:r>
    </w:p>
    <w:p w14:paraId="61E720D1" w14:textId="77777777" w:rsidR="0033511A" w:rsidRPr="00BE567A" w:rsidRDefault="0033511A" w:rsidP="0033511A">
      <w:pPr>
        <w:numPr>
          <w:ilvl w:val="0"/>
          <w:numId w:val="34"/>
        </w:numPr>
        <w:shd w:val="clear" w:color="auto" w:fill="FFFFFF"/>
        <w:spacing w:after="120" w:line="300" w:lineRule="atLeast"/>
        <w:ind w:left="-567" w:firstLine="0"/>
        <w:rPr>
          <w:rFonts w:ascii="Arial" w:hAnsi="Arial" w:cs="Arial"/>
          <w:bCs/>
        </w:rPr>
      </w:pPr>
      <w:r w:rsidRPr="00BE567A">
        <w:rPr>
          <w:rFonts w:ascii="Arial" w:hAnsi="Arial" w:cs="Arial"/>
        </w:rPr>
        <w:t>Renforcer la voix et la participation des filles et des femmes.</w:t>
      </w:r>
    </w:p>
    <w:p w14:paraId="7AE2D6B3" w14:textId="77777777" w:rsidR="0033511A" w:rsidRPr="00BE567A" w:rsidRDefault="0033511A" w:rsidP="0033511A">
      <w:pPr>
        <w:pStyle w:val="Normalweb"/>
        <w:ind w:left="-567"/>
        <w:jc w:val="both"/>
        <w:rPr>
          <w:rFonts w:ascii="Arial" w:eastAsiaTheme="minorHAnsi" w:hAnsi="Arial" w:cs="Arial"/>
          <w:bCs/>
          <w:sz w:val="22"/>
          <w:szCs w:val="22"/>
        </w:rPr>
      </w:pPr>
      <w:r w:rsidRPr="00BE567A">
        <w:rPr>
          <w:rFonts w:ascii="Arial" w:eastAsiaTheme="minorHAnsi" w:hAnsi="Arial" w:cs="Arial"/>
          <w:sz w:val="22"/>
        </w:rPr>
        <w:t xml:space="preserve">Il est attendu des acteurs de l'UE qu'ils produisent des résultats au regard de ce cadre et qu'ils entreprennent des activités, notamment : </w:t>
      </w:r>
    </w:p>
    <w:p w14:paraId="6B539CFE" w14:textId="77777777" w:rsidR="0033511A" w:rsidRPr="00BE567A" w:rsidRDefault="0033511A" w:rsidP="0033511A">
      <w:pPr>
        <w:pStyle w:val="Normalweb"/>
        <w:numPr>
          <w:ilvl w:val="0"/>
          <w:numId w:val="35"/>
        </w:numPr>
        <w:ind w:left="-567" w:firstLine="0"/>
        <w:jc w:val="both"/>
        <w:rPr>
          <w:rFonts w:ascii="Arial" w:eastAsiaTheme="minorHAnsi" w:hAnsi="Arial" w:cs="Arial"/>
          <w:bCs/>
          <w:sz w:val="22"/>
          <w:szCs w:val="22"/>
        </w:rPr>
      </w:pPr>
      <w:r w:rsidRPr="00BE567A">
        <w:rPr>
          <w:rFonts w:ascii="Arial" w:eastAsiaTheme="minorHAnsi" w:hAnsi="Arial" w:cs="Arial"/>
          <w:sz w:val="22"/>
        </w:rPr>
        <w:t>des rapports systématiques sur le changement de culture institutionnelle pour tous les acteurs de l'UE en fonction des indicateurs définis dans le document ;</w:t>
      </w:r>
    </w:p>
    <w:p w14:paraId="01BAA1CE" w14:textId="77777777" w:rsidR="0033511A" w:rsidRPr="00BE567A" w:rsidRDefault="0033511A" w:rsidP="0033511A">
      <w:pPr>
        <w:pStyle w:val="Normalweb"/>
        <w:numPr>
          <w:ilvl w:val="0"/>
          <w:numId w:val="35"/>
        </w:numPr>
        <w:ind w:left="-567" w:firstLine="0"/>
        <w:jc w:val="both"/>
        <w:rPr>
          <w:rFonts w:ascii="Arial" w:eastAsiaTheme="minorHAnsi" w:hAnsi="Arial" w:cs="Arial"/>
          <w:bCs/>
          <w:sz w:val="22"/>
          <w:szCs w:val="22"/>
        </w:rPr>
      </w:pPr>
      <w:r w:rsidRPr="00BE567A">
        <w:rPr>
          <w:rFonts w:ascii="Arial" w:eastAsiaTheme="minorHAnsi" w:hAnsi="Arial" w:cs="Arial"/>
          <w:sz w:val="22"/>
        </w:rPr>
        <w:t>Une analyse de la question de l'égalité des sexes pour toute nouvelle action extérieure entreprise (par ex. projets). Identifier les priorités et les indicateurs - cela sera complété d'ici mi-2016</w:t>
      </w:r>
    </w:p>
    <w:p w14:paraId="6FDE141B" w14:textId="77777777" w:rsidR="0033511A" w:rsidRPr="0033511A" w:rsidRDefault="0033511A" w:rsidP="0033511A">
      <w:pPr>
        <w:pStyle w:val="Normalweb"/>
        <w:numPr>
          <w:ilvl w:val="0"/>
          <w:numId w:val="35"/>
        </w:numPr>
        <w:ind w:left="-567" w:firstLine="0"/>
        <w:jc w:val="both"/>
        <w:rPr>
          <w:rFonts w:ascii="Arial" w:eastAsiaTheme="minorHAnsi" w:hAnsi="Arial" w:cs="Arial"/>
          <w:bCs/>
          <w:sz w:val="22"/>
          <w:szCs w:val="22"/>
        </w:rPr>
      </w:pPr>
      <w:r w:rsidRPr="00BE567A">
        <w:rPr>
          <w:rFonts w:ascii="Arial" w:eastAsiaTheme="minorHAnsi" w:hAnsi="Arial" w:cs="Arial"/>
          <w:sz w:val="22"/>
        </w:rPr>
        <w:t>un rapport annuel par tous les acteurs de l'UE sur la contribution de l'UE à un objectif par priorité thématique au minimum, en utilisant des données ventilées par sexe si disponibles.</w:t>
      </w:r>
    </w:p>
    <w:p w14:paraId="64D4D93B" w14:textId="77777777" w:rsidR="0033511A" w:rsidRDefault="0033511A" w:rsidP="0033511A">
      <w:pPr>
        <w:pStyle w:val="Normalweb"/>
        <w:jc w:val="both"/>
        <w:rPr>
          <w:rFonts w:ascii="Arial" w:eastAsiaTheme="minorHAnsi" w:hAnsi="Arial" w:cs="Arial"/>
          <w:sz w:val="22"/>
        </w:rPr>
      </w:pPr>
    </w:p>
    <w:p w14:paraId="549E885F" w14:textId="77777777" w:rsidR="0033511A" w:rsidRDefault="0033511A" w:rsidP="0033511A">
      <w:pPr>
        <w:pStyle w:val="Normalweb"/>
        <w:jc w:val="both"/>
        <w:rPr>
          <w:rFonts w:ascii="Arial" w:eastAsiaTheme="minorHAnsi" w:hAnsi="Arial" w:cs="Arial"/>
          <w:sz w:val="22"/>
        </w:rPr>
      </w:pPr>
    </w:p>
    <w:p w14:paraId="60E2797B" w14:textId="77777777" w:rsidR="0033511A" w:rsidRPr="00BE567A" w:rsidRDefault="0033511A" w:rsidP="0033511A">
      <w:pPr>
        <w:pStyle w:val="Normalweb"/>
        <w:jc w:val="both"/>
        <w:rPr>
          <w:rFonts w:ascii="Arial" w:eastAsiaTheme="minorHAnsi" w:hAnsi="Arial" w:cs="Arial"/>
          <w:bCs/>
          <w:sz w:val="22"/>
          <w:szCs w:val="22"/>
        </w:rPr>
      </w:pPr>
    </w:p>
    <w:p w14:paraId="35B63976" w14:textId="77777777" w:rsidR="0033511A" w:rsidRPr="00BE567A" w:rsidRDefault="0033511A" w:rsidP="0033511A">
      <w:pPr>
        <w:ind w:left="-567"/>
        <w:rPr>
          <w:rFonts w:ascii="Arial" w:eastAsiaTheme="minorHAnsi" w:hAnsi="Arial" w:cs="Arial"/>
        </w:rPr>
      </w:pPr>
      <w:r w:rsidRPr="00BE567A">
        <w:rPr>
          <w:rFonts w:ascii="Arial" w:hAnsi="Arial" w:cs="Arial"/>
        </w:rPr>
        <w:t>Le cadre inclut l'objectif d'appliquer de façon systématique le marqueur égalité homme-femme du Comité d'aide au développement de l'OCDE (marqueur genre)</w:t>
      </w:r>
      <w:r w:rsidRPr="00BE567A">
        <w:rPr>
          <w:rStyle w:val="Appelnotedebasdep"/>
          <w:rFonts w:ascii="Arial" w:hAnsi="Arial" w:cs="Arial"/>
        </w:rPr>
        <w:footnoteReference w:id="3"/>
      </w:r>
      <w:r w:rsidRPr="00BE567A">
        <w:rPr>
          <w:rFonts w:ascii="Arial" w:hAnsi="Arial" w:cs="Arial"/>
        </w:rPr>
        <w:t xml:space="preserve"> et de justifier tout indice G0, l'objectif étant que 85% des nouveaux programmes atteignent un indice G1 ou G2 d'ici 2020. </w:t>
      </w:r>
    </w:p>
    <w:p w14:paraId="2AC732C5" w14:textId="77777777" w:rsidR="0033511A" w:rsidRPr="00BE567A" w:rsidRDefault="0033511A" w:rsidP="0033511A">
      <w:pPr>
        <w:ind w:left="-567"/>
        <w:rPr>
          <w:rFonts w:ascii="Arial" w:hAnsi="Arial" w:cs="Arial"/>
        </w:rPr>
      </w:pPr>
      <w:r w:rsidRPr="00BE567A">
        <w:rPr>
          <w:rFonts w:ascii="Arial" w:hAnsi="Arial" w:cs="Arial"/>
          <w:b/>
        </w:rPr>
        <w:t xml:space="preserve">Pourquoi le Plan d'action sur l'égalité des sexes est-il important dans votre </w:t>
      </w:r>
      <w:proofErr w:type="gramStart"/>
      <w:r w:rsidRPr="00BE567A">
        <w:rPr>
          <w:rFonts w:ascii="Arial" w:hAnsi="Arial" w:cs="Arial"/>
          <w:b/>
        </w:rPr>
        <w:t>pays ?</w:t>
      </w:r>
      <w:proofErr w:type="gramEnd"/>
      <w:r w:rsidRPr="00BE567A">
        <w:rPr>
          <w:rFonts w:ascii="Arial" w:hAnsi="Arial" w:cs="Arial"/>
          <w:b/>
        </w:rPr>
        <w:t xml:space="preserve"> </w:t>
      </w:r>
    </w:p>
    <w:p w14:paraId="36F36D4F" w14:textId="77777777" w:rsidR="0033511A" w:rsidRPr="00BE567A" w:rsidRDefault="0033511A" w:rsidP="0033511A">
      <w:pPr>
        <w:ind w:left="-567"/>
        <w:rPr>
          <w:rFonts w:ascii="Arial" w:hAnsi="Arial" w:cs="Arial"/>
        </w:rPr>
      </w:pPr>
      <w:r w:rsidRPr="00BE567A">
        <w:rPr>
          <w:rFonts w:ascii="Arial" w:hAnsi="Arial" w:cs="Arial"/>
        </w:rPr>
        <w:t xml:space="preserve">Il est important de comprendre et de référencer les parties pertinentes du plan d'action lors du développement de propositions, car il est lié à tous les instruments de l'action extérieure et de la coopération au développement de l'UE. Comprendre et adapter le travail à ce document peut également aider à obtenir des financements de la part des délégations locales de l'UE, à travers des subventions directes. </w:t>
      </w:r>
    </w:p>
    <w:p w14:paraId="33B53CF4" w14:textId="77777777" w:rsidR="0033511A" w:rsidRPr="00BE567A" w:rsidRDefault="0033511A" w:rsidP="0033511A">
      <w:pPr>
        <w:ind w:left="-567"/>
        <w:rPr>
          <w:rFonts w:ascii="Arial" w:hAnsi="Arial" w:cs="Arial"/>
        </w:rPr>
      </w:pPr>
      <w:r w:rsidRPr="00BE567A">
        <w:rPr>
          <w:rFonts w:ascii="Arial" w:hAnsi="Arial" w:cs="Arial"/>
        </w:rPr>
        <w:t xml:space="preserve">Si le Plan d'action est bien mis en œuvre, et les programmes et le travail de l'UE sont sensibles au genre, cela aura un impact transformateur sur la vie de certaines des filles les plus pauvres du monde. </w:t>
      </w:r>
    </w:p>
    <w:p w14:paraId="4AF01A88" w14:textId="77777777" w:rsidR="0033511A" w:rsidRPr="00BE567A" w:rsidRDefault="0033511A" w:rsidP="0033511A">
      <w:pPr>
        <w:autoSpaceDE w:val="0"/>
        <w:autoSpaceDN w:val="0"/>
        <w:adjustRightInd w:val="0"/>
        <w:spacing w:after="0" w:line="240" w:lineRule="auto"/>
        <w:rPr>
          <w:rFonts w:ascii="Arial" w:hAnsi="Arial" w:cs="Arial"/>
        </w:rPr>
      </w:pPr>
    </w:p>
    <w:p w14:paraId="70E37099" w14:textId="77777777" w:rsidR="00CC2584" w:rsidRPr="00CC2584" w:rsidRDefault="00CC2584" w:rsidP="00CC2584">
      <w:pPr>
        <w:autoSpaceDE w:val="0"/>
        <w:autoSpaceDN w:val="0"/>
        <w:adjustRightInd w:val="0"/>
        <w:spacing w:after="0" w:line="240" w:lineRule="auto"/>
        <w:ind w:left="-567"/>
        <w:rPr>
          <w:rFonts w:ascii="Arial" w:hAnsi="Arial" w:cs="Arial"/>
          <w:lang w:val="en-GB" w:eastAsia="zh-TW"/>
        </w:rPr>
      </w:pPr>
    </w:p>
    <w:p w14:paraId="263750A6" w14:textId="77777777" w:rsidR="0033511A" w:rsidRDefault="0033511A" w:rsidP="0033511A">
      <w:pPr>
        <w:autoSpaceDE w:val="0"/>
        <w:autoSpaceDN w:val="0"/>
        <w:adjustRightInd w:val="0"/>
        <w:spacing w:after="0" w:line="240" w:lineRule="auto"/>
        <w:ind w:left="-567"/>
        <w:rPr>
          <w:rFonts w:ascii="Arial" w:hAnsi="Arial" w:cs="Arial"/>
          <w:b/>
          <w:color w:val="E36C0A" w:themeColor="accent6" w:themeShade="BF"/>
          <w:sz w:val="26"/>
          <w:szCs w:val="26"/>
          <w:lang w:val="en-GB" w:bidi="fr-FR"/>
        </w:rPr>
      </w:pPr>
      <w:r w:rsidRPr="0033511A">
        <w:rPr>
          <w:rFonts w:ascii="Arial" w:hAnsi="Arial" w:cs="Arial"/>
          <w:b/>
          <w:color w:val="E36C0A" w:themeColor="accent6" w:themeShade="BF"/>
          <w:sz w:val="26"/>
          <w:szCs w:val="26"/>
          <w:lang w:val="en-GB" w:bidi="fr-FR"/>
        </w:rPr>
        <w:t xml:space="preserve">Lignes directrices en matière de droits de l'homme </w:t>
      </w:r>
    </w:p>
    <w:p w14:paraId="137CFD31" w14:textId="77777777" w:rsidR="0033511A" w:rsidRPr="0033511A" w:rsidRDefault="0033511A" w:rsidP="0033511A">
      <w:pPr>
        <w:autoSpaceDE w:val="0"/>
        <w:autoSpaceDN w:val="0"/>
        <w:adjustRightInd w:val="0"/>
        <w:spacing w:after="0" w:line="240" w:lineRule="auto"/>
        <w:ind w:left="-567"/>
        <w:rPr>
          <w:rFonts w:ascii="Arial" w:hAnsi="Arial" w:cs="Arial"/>
          <w:b/>
          <w:color w:val="E36C0A" w:themeColor="accent6" w:themeShade="BF"/>
          <w:sz w:val="26"/>
          <w:szCs w:val="26"/>
          <w:lang w:val="en-GB" w:bidi="fr-FR"/>
        </w:rPr>
      </w:pPr>
    </w:p>
    <w:p w14:paraId="0E449F01" w14:textId="77777777" w:rsidR="0033511A" w:rsidRPr="00BE567A" w:rsidRDefault="0033511A" w:rsidP="0033511A">
      <w:pPr>
        <w:autoSpaceDE w:val="0"/>
        <w:autoSpaceDN w:val="0"/>
        <w:adjustRightInd w:val="0"/>
        <w:spacing w:after="0" w:line="240" w:lineRule="auto"/>
        <w:rPr>
          <w:rFonts w:ascii="Arial" w:hAnsi="Arial" w:cs="Arial"/>
          <w:bCs/>
        </w:rPr>
      </w:pPr>
      <w:r w:rsidRPr="00BE567A">
        <w:rPr>
          <w:rFonts w:ascii="Arial" w:hAnsi="Arial" w:cs="Arial"/>
        </w:rPr>
        <w:t xml:space="preserve">L'UE dispose de lignes directrices sur un certain nombre de domaines clés, comme les droits des personnes LGBTI, la violence contre les femmes et les filles, les enfants et les conflits armés, la promotion et la protection des droits de l'enfant, les défenseurs des droits de l'homme et bien d'autres sujets. </w:t>
      </w:r>
    </w:p>
    <w:p w14:paraId="79949066" w14:textId="77777777" w:rsidR="0033511A" w:rsidRPr="00BE567A" w:rsidRDefault="0033511A" w:rsidP="0033511A">
      <w:pPr>
        <w:autoSpaceDE w:val="0"/>
        <w:autoSpaceDN w:val="0"/>
        <w:adjustRightInd w:val="0"/>
        <w:spacing w:after="0" w:line="240" w:lineRule="auto"/>
        <w:rPr>
          <w:rFonts w:ascii="Arial" w:hAnsi="Arial" w:cs="Arial"/>
          <w:bCs/>
        </w:rPr>
      </w:pPr>
    </w:p>
    <w:p w14:paraId="53748B3F" w14:textId="77777777" w:rsidR="0033511A" w:rsidRPr="00BE567A" w:rsidRDefault="0033511A" w:rsidP="0033511A">
      <w:pPr>
        <w:autoSpaceDE w:val="0"/>
        <w:autoSpaceDN w:val="0"/>
        <w:adjustRightInd w:val="0"/>
        <w:spacing w:after="0" w:line="240" w:lineRule="auto"/>
        <w:rPr>
          <w:rFonts w:ascii="Arial" w:hAnsi="Arial" w:cs="Arial"/>
          <w:bCs/>
        </w:rPr>
      </w:pPr>
      <w:r w:rsidRPr="00BE567A">
        <w:rPr>
          <w:rFonts w:ascii="Arial" w:hAnsi="Arial" w:cs="Arial"/>
        </w:rPr>
        <w:t>Ces lignes directrices ne sont pas juridiquement contraignantes, mais comme elles ont été adoptées au niveau ministériel, elles représentent un signal politique fort en tant que priorités pour l'UE et elles définissent la manière dont l'UE travaillera sur la question. Les lignes directrices sont des instruments pragmatiques de la politique en matière de droits de l'homme de l'UE, et des outils pratiques pour aider les Délégations de l'UE sur le terrain à mettre en œuvre la politique en matière de droits de l'homme à travers des actions spécifiques comme les démarches et les déclarations. Il est essentiel, dans nos propositions, de faire référence aux lignes directrices concernées - par exemple un projet venant en soutien aux enfants dans un conflit armé doit faire référence aux lignes directrices sur le sujet. Les lignes directrices peuvent même fournir des idées quant aux domaines à viser dans la proposition afin d'augmenter vos chances de succès.</w:t>
      </w:r>
    </w:p>
    <w:p w14:paraId="390EC2D5" w14:textId="77777777" w:rsidR="0033511A" w:rsidRPr="00BE567A" w:rsidRDefault="0033511A" w:rsidP="0033511A">
      <w:pPr>
        <w:autoSpaceDE w:val="0"/>
        <w:autoSpaceDN w:val="0"/>
        <w:adjustRightInd w:val="0"/>
        <w:spacing w:after="0" w:line="240" w:lineRule="auto"/>
        <w:rPr>
          <w:rStyle w:val="Titre1Car"/>
          <w:rFonts w:ascii="Arial" w:hAnsi="Arial" w:cs="Arial"/>
          <w:b w:val="0"/>
        </w:rPr>
      </w:pPr>
    </w:p>
    <w:p w14:paraId="06554225" w14:textId="77777777" w:rsidR="0033511A" w:rsidRPr="00BE567A" w:rsidRDefault="0033511A" w:rsidP="0033511A">
      <w:pPr>
        <w:spacing w:after="0" w:line="240" w:lineRule="auto"/>
        <w:rPr>
          <w:rFonts w:ascii="Arial" w:eastAsia="Times New Roman" w:hAnsi="Arial" w:cs="Arial"/>
        </w:rPr>
      </w:pPr>
      <w:r w:rsidRPr="00BE567A">
        <w:rPr>
          <w:rFonts w:ascii="Arial" w:hAnsi="Arial" w:cs="Arial"/>
        </w:rPr>
        <w:t xml:space="preserve">À ce jour, l'UE dispose de lignes directrices sur les sujets </w:t>
      </w:r>
      <w:proofErr w:type="gramStart"/>
      <w:r w:rsidRPr="00BE567A">
        <w:rPr>
          <w:rFonts w:ascii="Arial" w:hAnsi="Arial" w:cs="Arial"/>
        </w:rPr>
        <w:t>suivants :</w:t>
      </w:r>
      <w:proofErr w:type="gramEnd"/>
    </w:p>
    <w:p w14:paraId="0FD733FA" w14:textId="77777777" w:rsidR="0033511A" w:rsidRPr="00BE567A" w:rsidRDefault="0033511A" w:rsidP="0033511A">
      <w:pPr>
        <w:numPr>
          <w:ilvl w:val="0"/>
          <w:numId w:val="36"/>
        </w:numPr>
        <w:spacing w:after="0" w:line="240" w:lineRule="atLeast"/>
        <w:ind w:left="709" w:hanging="425"/>
        <w:rPr>
          <w:rFonts w:ascii="Arial" w:eastAsia="Times New Roman" w:hAnsi="Arial" w:cs="Arial"/>
        </w:rPr>
      </w:pPr>
      <w:r w:rsidRPr="00BE567A">
        <w:rPr>
          <w:rFonts w:ascii="Arial" w:hAnsi="Arial" w:cs="Arial"/>
        </w:rPr>
        <w:t>La peine de mort (mise à jour en 2013)</w:t>
      </w:r>
    </w:p>
    <w:p w14:paraId="4DF1A994" w14:textId="77777777" w:rsidR="0033511A" w:rsidRPr="00BE567A" w:rsidRDefault="0033511A" w:rsidP="0033511A">
      <w:pPr>
        <w:numPr>
          <w:ilvl w:val="0"/>
          <w:numId w:val="36"/>
        </w:numPr>
        <w:spacing w:after="0" w:line="240" w:lineRule="atLeast"/>
        <w:ind w:left="709" w:hanging="425"/>
        <w:rPr>
          <w:rFonts w:ascii="Arial" w:eastAsia="Times New Roman" w:hAnsi="Arial" w:cs="Arial"/>
        </w:rPr>
      </w:pPr>
      <w:r w:rsidRPr="00BE567A">
        <w:rPr>
          <w:rFonts w:ascii="Arial" w:hAnsi="Arial" w:cs="Arial"/>
        </w:rPr>
        <w:t>La torture ou d'autres peines ou traitements cruels, inhumains ou dégradants (mise à jour en 2012)</w:t>
      </w:r>
    </w:p>
    <w:p w14:paraId="4B036F9A" w14:textId="77777777" w:rsidR="0033511A" w:rsidRPr="00BE567A" w:rsidRDefault="0033511A" w:rsidP="0033511A">
      <w:pPr>
        <w:numPr>
          <w:ilvl w:val="0"/>
          <w:numId w:val="36"/>
        </w:numPr>
        <w:spacing w:after="0" w:line="240" w:lineRule="atLeast"/>
        <w:ind w:left="709" w:hanging="425"/>
        <w:rPr>
          <w:rFonts w:ascii="Arial" w:eastAsia="Times New Roman" w:hAnsi="Arial" w:cs="Arial"/>
        </w:rPr>
      </w:pPr>
      <w:r w:rsidRPr="00BE567A">
        <w:rPr>
          <w:rFonts w:ascii="Arial" w:hAnsi="Arial" w:cs="Arial"/>
        </w:rPr>
        <w:t>Les dialogues dans le domaine des droits de l'homme (mises à jour en 2009)</w:t>
      </w:r>
    </w:p>
    <w:p w14:paraId="5DDD42CE" w14:textId="77777777" w:rsidR="0033511A" w:rsidRPr="00BE567A" w:rsidRDefault="0033511A" w:rsidP="0033511A">
      <w:pPr>
        <w:numPr>
          <w:ilvl w:val="0"/>
          <w:numId w:val="36"/>
        </w:numPr>
        <w:spacing w:after="0" w:line="240" w:lineRule="atLeast"/>
        <w:ind w:left="709" w:hanging="425"/>
        <w:rPr>
          <w:rFonts w:ascii="Arial" w:eastAsia="Times New Roman" w:hAnsi="Arial" w:cs="Arial"/>
        </w:rPr>
      </w:pPr>
      <w:r w:rsidRPr="00BE567A">
        <w:rPr>
          <w:rFonts w:ascii="Arial" w:hAnsi="Arial" w:cs="Arial"/>
        </w:rPr>
        <w:t>Les enfants face aux conflits armés (mises à jour en 2008)</w:t>
      </w:r>
    </w:p>
    <w:p w14:paraId="0C58CD34" w14:textId="77777777" w:rsidR="0033511A" w:rsidRPr="00BE567A" w:rsidRDefault="0033511A" w:rsidP="0033511A">
      <w:pPr>
        <w:numPr>
          <w:ilvl w:val="0"/>
          <w:numId w:val="36"/>
        </w:numPr>
        <w:spacing w:after="0" w:line="240" w:lineRule="atLeast"/>
        <w:ind w:left="709" w:hanging="425"/>
        <w:rPr>
          <w:rFonts w:ascii="Arial" w:eastAsia="Times New Roman" w:hAnsi="Arial" w:cs="Arial"/>
        </w:rPr>
      </w:pPr>
      <w:r w:rsidRPr="00BE567A">
        <w:rPr>
          <w:rFonts w:ascii="Arial" w:hAnsi="Arial" w:cs="Arial"/>
        </w:rPr>
        <w:t>Les défenseurs des droits de l'homme (mise à jour en 2008)</w:t>
      </w:r>
    </w:p>
    <w:p w14:paraId="45C4FABD" w14:textId="77777777" w:rsidR="0033511A" w:rsidRPr="00BE567A" w:rsidRDefault="0033511A" w:rsidP="0033511A">
      <w:pPr>
        <w:numPr>
          <w:ilvl w:val="0"/>
          <w:numId w:val="36"/>
        </w:numPr>
        <w:spacing w:after="0" w:line="240" w:lineRule="atLeast"/>
        <w:ind w:left="709" w:hanging="425"/>
        <w:rPr>
          <w:rFonts w:ascii="Arial" w:eastAsia="Times New Roman" w:hAnsi="Arial" w:cs="Arial"/>
        </w:rPr>
      </w:pPr>
      <w:r w:rsidRPr="00BE567A">
        <w:rPr>
          <w:rFonts w:ascii="Arial" w:hAnsi="Arial" w:cs="Arial"/>
        </w:rPr>
        <w:t>La promotion et la protection des droits de l'enfant (mises à jour en 2008)</w:t>
      </w:r>
    </w:p>
    <w:p w14:paraId="30D3FD00" w14:textId="77777777" w:rsidR="0033511A" w:rsidRPr="00BE567A" w:rsidRDefault="0033511A" w:rsidP="0033511A">
      <w:pPr>
        <w:numPr>
          <w:ilvl w:val="0"/>
          <w:numId w:val="36"/>
        </w:numPr>
        <w:spacing w:after="0" w:line="240" w:lineRule="atLeast"/>
        <w:ind w:left="709" w:hanging="425"/>
        <w:rPr>
          <w:rFonts w:ascii="Arial" w:eastAsia="Times New Roman" w:hAnsi="Arial" w:cs="Arial"/>
        </w:rPr>
      </w:pPr>
      <w:r w:rsidRPr="00BE567A">
        <w:rPr>
          <w:rFonts w:ascii="Arial" w:hAnsi="Arial" w:cs="Arial"/>
        </w:rPr>
        <w:t>Les violences contre les femmes et les jeunes filles et la lutte contre toutes les formes de discrimination à leur encontre (2008)</w:t>
      </w:r>
    </w:p>
    <w:p w14:paraId="4F9DC8C2" w14:textId="77777777" w:rsidR="0033511A" w:rsidRPr="0033511A" w:rsidRDefault="0033511A" w:rsidP="0033511A">
      <w:pPr>
        <w:numPr>
          <w:ilvl w:val="0"/>
          <w:numId w:val="36"/>
        </w:numPr>
        <w:spacing w:before="100" w:beforeAutospacing="1" w:after="100" w:afterAutospacing="1" w:line="240" w:lineRule="atLeast"/>
        <w:ind w:left="709" w:hanging="425"/>
        <w:rPr>
          <w:rFonts w:ascii="Arial" w:eastAsia="Times New Roman" w:hAnsi="Arial" w:cs="Arial"/>
        </w:rPr>
      </w:pPr>
      <w:r w:rsidRPr="00BE567A">
        <w:rPr>
          <w:rFonts w:ascii="Arial" w:hAnsi="Arial" w:cs="Arial"/>
        </w:rPr>
        <w:t>La promotion du respect du droit humanitaire international (mises à jour en 2009)</w:t>
      </w:r>
    </w:p>
    <w:p w14:paraId="765FD2B1" w14:textId="77777777" w:rsidR="0033511A" w:rsidRPr="00BE567A" w:rsidRDefault="0033511A" w:rsidP="0033511A">
      <w:pPr>
        <w:spacing w:before="100" w:beforeAutospacing="1" w:after="100" w:afterAutospacing="1" w:line="240" w:lineRule="atLeast"/>
        <w:rPr>
          <w:rFonts w:ascii="Arial" w:eastAsia="Times New Roman" w:hAnsi="Arial" w:cs="Arial"/>
        </w:rPr>
      </w:pPr>
    </w:p>
    <w:p w14:paraId="732B998F" w14:textId="77777777" w:rsidR="0033511A" w:rsidRPr="0033511A" w:rsidRDefault="0033511A" w:rsidP="0033511A">
      <w:pPr>
        <w:numPr>
          <w:ilvl w:val="0"/>
          <w:numId w:val="36"/>
        </w:numPr>
        <w:spacing w:before="100" w:beforeAutospacing="1" w:after="100" w:afterAutospacing="1" w:line="240" w:lineRule="atLeast"/>
        <w:ind w:left="709" w:hanging="425"/>
        <w:rPr>
          <w:rFonts w:ascii="Arial" w:eastAsia="Times New Roman" w:hAnsi="Arial" w:cs="Arial"/>
        </w:rPr>
      </w:pPr>
      <w:r w:rsidRPr="00BE567A">
        <w:rPr>
          <w:rFonts w:ascii="Arial" w:hAnsi="Arial" w:cs="Arial"/>
        </w:rPr>
        <w:t>La promotion et la protection de la liberté de religion ou de conviction (2013)</w:t>
      </w:r>
    </w:p>
    <w:p w14:paraId="6AAEF00B" w14:textId="77777777" w:rsidR="0033511A" w:rsidRPr="00BE567A" w:rsidRDefault="0033511A" w:rsidP="0033511A">
      <w:pPr>
        <w:numPr>
          <w:ilvl w:val="0"/>
          <w:numId w:val="36"/>
        </w:numPr>
        <w:spacing w:before="100" w:beforeAutospacing="1" w:after="100" w:afterAutospacing="1" w:line="240" w:lineRule="atLeast"/>
        <w:ind w:left="709" w:hanging="425"/>
        <w:rPr>
          <w:rFonts w:ascii="Arial" w:eastAsia="Times New Roman" w:hAnsi="Arial" w:cs="Arial"/>
        </w:rPr>
      </w:pPr>
      <w:r w:rsidRPr="00BE567A">
        <w:rPr>
          <w:rFonts w:ascii="Arial" w:hAnsi="Arial" w:cs="Arial"/>
        </w:rPr>
        <w:t>La promotion et le respect de tous les droits fondamentaux des personnes lesbiennes, gays, bisexuelles, transgenres et intersexuées (LGBTI) (2013)</w:t>
      </w:r>
    </w:p>
    <w:p w14:paraId="543BC1D1" w14:textId="77777777" w:rsidR="0033511A" w:rsidRPr="00BE567A" w:rsidRDefault="0033511A" w:rsidP="0033511A">
      <w:pPr>
        <w:numPr>
          <w:ilvl w:val="0"/>
          <w:numId w:val="36"/>
        </w:numPr>
        <w:spacing w:before="100" w:beforeAutospacing="1" w:after="100" w:afterAutospacing="1" w:line="240" w:lineRule="atLeast"/>
        <w:ind w:left="709" w:hanging="425"/>
        <w:rPr>
          <w:rFonts w:ascii="Arial" w:eastAsia="Times New Roman" w:hAnsi="Arial" w:cs="Arial"/>
        </w:rPr>
      </w:pPr>
      <w:r w:rsidRPr="00BE567A">
        <w:rPr>
          <w:rFonts w:ascii="Arial" w:hAnsi="Arial" w:cs="Arial"/>
        </w:rPr>
        <w:t>La liberté d'expression sur Internet et dans d'autres cadres (2014)</w:t>
      </w:r>
    </w:p>
    <w:p w14:paraId="323E1065" w14:textId="77777777" w:rsidR="0033511A" w:rsidRPr="0033511A" w:rsidRDefault="0033511A" w:rsidP="0033511A">
      <w:pPr>
        <w:autoSpaceDE w:val="0"/>
        <w:autoSpaceDN w:val="0"/>
        <w:adjustRightInd w:val="0"/>
        <w:spacing w:after="0" w:line="240" w:lineRule="auto"/>
        <w:ind w:left="-567"/>
        <w:rPr>
          <w:rFonts w:ascii="Arial" w:hAnsi="Arial" w:cs="Arial"/>
          <w:b/>
          <w:bCs/>
          <w:color w:val="E36C0A" w:themeColor="accent6" w:themeShade="BF"/>
          <w:sz w:val="26"/>
          <w:szCs w:val="26"/>
          <w:lang w:val="en-GB" w:bidi="fr-FR"/>
        </w:rPr>
      </w:pPr>
      <w:r w:rsidRPr="0033511A">
        <w:rPr>
          <w:rFonts w:ascii="Arial" w:hAnsi="Arial" w:cs="Arial"/>
          <w:b/>
          <w:color w:val="E36C0A" w:themeColor="accent6" w:themeShade="BF"/>
          <w:sz w:val="26"/>
          <w:szCs w:val="26"/>
          <w:lang w:val="en-GB" w:bidi="fr-FR"/>
        </w:rPr>
        <w:t>Communication de la CE "</w:t>
      </w:r>
      <w:r w:rsidRPr="0033511A">
        <w:rPr>
          <w:rFonts w:ascii="Arial" w:hAnsi="Arial" w:cs="Arial"/>
          <w:b/>
          <w:i/>
          <w:color w:val="E36C0A" w:themeColor="accent6" w:themeShade="BF"/>
          <w:sz w:val="26"/>
          <w:szCs w:val="26"/>
          <w:lang w:val="en-GB" w:bidi="fr-FR"/>
        </w:rPr>
        <w:t xml:space="preserve">Les racines de la démocratie et du développement </w:t>
      </w:r>
      <w:proofErr w:type="gramStart"/>
      <w:r w:rsidRPr="0033511A">
        <w:rPr>
          <w:rFonts w:ascii="Arial" w:hAnsi="Arial" w:cs="Arial"/>
          <w:b/>
          <w:i/>
          <w:color w:val="E36C0A" w:themeColor="accent6" w:themeShade="BF"/>
          <w:sz w:val="26"/>
          <w:szCs w:val="26"/>
          <w:lang w:val="en-GB" w:bidi="fr-FR"/>
        </w:rPr>
        <w:t>durable :</w:t>
      </w:r>
      <w:proofErr w:type="gramEnd"/>
      <w:r w:rsidRPr="0033511A">
        <w:rPr>
          <w:rFonts w:ascii="Arial" w:hAnsi="Arial" w:cs="Arial"/>
          <w:b/>
          <w:i/>
          <w:color w:val="E36C0A" w:themeColor="accent6" w:themeShade="BF"/>
          <w:sz w:val="26"/>
          <w:szCs w:val="26"/>
          <w:lang w:val="en-GB" w:bidi="fr-FR"/>
        </w:rPr>
        <w:t xml:space="preserve"> l'engagement de l'Europe avec la société civile dans le domaine des relations extérieures"</w:t>
      </w:r>
    </w:p>
    <w:p w14:paraId="54A02DFC" w14:textId="77777777" w:rsidR="00CC2584" w:rsidRPr="00CC2584" w:rsidRDefault="00CC2584" w:rsidP="0033511A">
      <w:pPr>
        <w:autoSpaceDE w:val="0"/>
        <w:autoSpaceDN w:val="0"/>
        <w:adjustRightInd w:val="0"/>
        <w:spacing w:after="0" w:line="240" w:lineRule="auto"/>
        <w:ind w:left="-567"/>
        <w:rPr>
          <w:rFonts w:ascii="Arial" w:hAnsi="Arial" w:cs="Arial"/>
        </w:rPr>
      </w:pPr>
    </w:p>
    <w:p w14:paraId="6C424DE6" w14:textId="77777777" w:rsidR="0033511A" w:rsidRPr="00BE567A" w:rsidRDefault="0033511A" w:rsidP="0033511A">
      <w:pPr>
        <w:autoSpaceDE w:val="0"/>
        <w:autoSpaceDN w:val="0"/>
        <w:adjustRightInd w:val="0"/>
        <w:spacing w:after="0" w:line="240" w:lineRule="auto"/>
        <w:ind w:left="-567"/>
        <w:rPr>
          <w:rFonts w:ascii="Arial" w:hAnsi="Arial" w:cs="Arial"/>
        </w:rPr>
      </w:pPr>
      <w:r w:rsidRPr="00BE567A">
        <w:rPr>
          <w:rFonts w:ascii="Arial" w:hAnsi="Arial" w:cs="Arial"/>
        </w:rPr>
        <w:t xml:space="preserve">La communication de la CE "Les racines de la démocratie et du développement </w:t>
      </w:r>
      <w:proofErr w:type="gramStart"/>
      <w:r w:rsidRPr="00BE567A">
        <w:rPr>
          <w:rFonts w:ascii="Arial" w:hAnsi="Arial" w:cs="Arial"/>
        </w:rPr>
        <w:t>durable :</w:t>
      </w:r>
      <w:proofErr w:type="gramEnd"/>
      <w:r w:rsidRPr="00BE567A">
        <w:rPr>
          <w:rFonts w:ascii="Arial" w:hAnsi="Arial" w:cs="Arial"/>
        </w:rPr>
        <w:t xml:space="preserve"> l'engagement de l'Europe avec la société civile dans le domaine des relations extérieures" a été diffusée le 12 septembre 2012.</w:t>
      </w:r>
    </w:p>
    <w:p w14:paraId="46B352DC" w14:textId="77777777" w:rsidR="0033511A" w:rsidRPr="00BE567A" w:rsidRDefault="0033511A" w:rsidP="0033511A">
      <w:pPr>
        <w:autoSpaceDE w:val="0"/>
        <w:autoSpaceDN w:val="0"/>
        <w:adjustRightInd w:val="0"/>
        <w:spacing w:after="0" w:line="240" w:lineRule="auto"/>
        <w:ind w:left="-567"/>
        <w:rPr>
          <w:rFonts w:ascii="Arial" w:hAnsi="Arial" w:cs="Arial"/>
        </w:rPr>
      </w:pPr>
    </w:p>
    <w:p w14:paraId="687EA7BF" w14:textId="77777777" w:rsidR="0033511A" w:rsidRPr="00BE567A" w:rsidRDefault="0033511A" w:rsidP="0033511A">
      <w:pPr>
        <w:autoSpaceDE w:val="0"/>
        <w:autoSpaceDN w:val="0"/>
        <w:adjustRightInd w:val="0"/>
        <w:spacing w:after="0" w:line="240" w:lineRule="auto"/>
        <w:ind w:left="-567"/>
        <w:rPr>
          <w:rFonts w:ascii="Arial" w:hAnsi="Arial" w:cs="Arial"/>
        </w:rPr>
      </w:pPr>
      <w:r w:rsidRPr="00BE567A">
        <w:rPr>
          <w:rFonts w:ascii="Arial" w:hAnsi="Arial" w:cs="Arial"/>
        </w:rPr>
        <w:t>La Communication est le résultat d'un processus de dialogue et de consultation de deux ans - le Dialogue Structuré sur la participation des OSC et des Autorités locales dans la coopération au développement de l'UE - organisé par la Commission européenne, dans lequel divers secteurs de la société civile de toutes les régions se sont engagés de manière constructive.</w:t>
      </w:r>
    </w:p>
    <w:p w14:paraId="5DF644D1" w14:textId="77777777" w:rsidR="0033511A" w:rsidRPr="00BE567A" w:rsidRDefault="0033511A" w:rsidP="0033511A">
      <w:pPr>
        <w:autoSpaceDE w:val="0"/>
        <w:autoSpaceDN w:val="0"/>
        <w:adjustRightInd w:val="0"/>
        <w:spacing w:after="0" w:line="240" w:lineRule="auto"/>
        <w:ind w:left="-567"/>
        <w:rPr>
          <w:rFonts w:ascii="Arial" w:hAnsi="Arial" w:cs="Arial"/>
        </w:rPr>
      </w:pPr>
    </w:p>
    <w:p w14:paraId="4BBAFE7C" w14:textId="77777777" w:rsidR="0033511A" w:rsidRPr="00BE567A" w:rsidRDefault="0033511A" w:rsidP="0033511A">
      <w:pPr>
        <w:autoSpaceDE w:val="0"/>
        <w:autoSpaceDN w:val="0"/>
        <w:adjustRightInd w:val="0"/>
        <w:spacing w:after="0" w:line="240" w:lineRule="auto"/>
        <w:ind w:left="-567"/>
        <w:rPr>
          <w:rFonts w:ascii="Arial" w:hAnsi="Arial" w:cs="Arial"/>
          <w:bCs/>
        </w:rPr>
      </w:pPr>
      <w:r w:rsidRPr="00BE567A">
        <w:rPr>
          <w:rFonts w:ascii="Arial" w:hAnsi="Arial" w:cs="Arial"/>
        </w:rPr>
        <w:t xml:space="preserve">La communication emploie une définition large des organisations de la société </w:t>
      </w:r>
      <w:proofErr w:type="gramStart"/>
      <w:r w:rsidRPr="00BE567A">
        <w:rPr>
          <w:rFonts w:ascii="Arial" w:hAnsi="Arial" w:cs="Arial"/>
        </w:rPr>
        <w:t>civile :</w:t>
      </w:r>
      <w:proofErr w:type="gramEnd"/>
    </w:p>
    <w:p w14:paraId="5FC1BEDA" w14:textId="77777777" w:rsidR="0033511A" w:rsidRPr="00BE567A" w:rsidRDefault="0033511A" w:rsidP="0033511A">
      <w:pPr>
        <w:autoSpaceDE w:val="0"/>
        <w:autoSpaceDN w:val="0"/>
        <w:adjustRightInd w:val="0"/>
        <w:spacing w:after="0" w:line="240" w:lineRule="auto"/>
        <w:ind w:left="-567"/>
        <w:rPr>
          <w:rFonts w:ascii="Arial" w:hAnsi="Arial" w:cs="Arial"/>
          <w:bCs/>
        </w:rPr>
      </w:pPr>
      <w:r w:rsidRPr="00BE567A">
        <w:rPr>
          <w:rFonts w:ascii="Arial" w:hAnsi="Arial" w:cs="Arial"/>
          <w:i/>
        </w:rPr>
        <w:t xml:space="preserve">« L'UE considère que les OSC englobent toutes les structures non étatiques, à but non lucratif, non partisanes et non violentes, dans le cadre desquelles des personnes s'organisent pour poursuivre des objectifs et des idéaux communs, qu'ils soient politiques, culturels, sociaux ou économiques. </w:t>
      </w:r>
      <w:r w:rsidRPr="00BE567A">
        <w:rPr>
          <w:rFonts w:ascii="Arial" w:hAnsi="Arial" w:cs="Arial"/>
        </w:rPr>
        <w:t xml:space="preserve">Agissant à l'échelon local, national, régional ou international, elles comprennent des organisations urbaines et rurales, formelles et informelles. </w:t>
      </w:r>
    </w:p>
    <w:p w14:paraId="26C388F0" w14:textId="77777777" w:rsidR="0033511A" w:rsidRPr="00BE567A" w:rsidRDefault="0033511A" w:rsidP="0033511A">
      <w:pPr>
        <w:autoSpaceDE w:val="0"/>
        <w:autoSpaceDN w:val="0"/>
        <w:adjustRightInd w:val="0"/>
        <w:spacing w:after="0" w:line="240" w:lineRule="auto"/>
        <w:ind w:left="-567"/>
        <w:rPr>
          <w:rFonts w:ascii="Arial" w:hAnsi="Arial" w:cs="Arial"/>
        </w:rPr>
      </w:pPr>
    </w:p>
    <w:p w14:paraId="36692D90" w14:textId="77777777" w:rsidR="0033511A" w:rsidRPr="00BE567A" w:rsidRDefault="0033511A" w:rsidP="0033511A">
      <w:pPr>
        <w:autoSpaceDE w:val="0"/>
        <w:autoSpaceDN w:val="0"/>
        <w:adjustRightInd w:val="0"/>
        <w:spacing w:after="0" w:line="240" w:lineRule="auto"/>
        <w:ind w:left="-567"/>
        <w:rPr>
          <w:rFonts w:ascii="Arial" w:hAnsi="Arial" w:cs="Arial"/>
        </w:rPr>
      </w:pPr>
      <w:r w:rsidRPr="00BE567A">
        <w:rPr>
          <w:rFonts w:ascii="Arial" w:hAnsi="Arial" w:cs="Arial"/>
        </w:rPr>
        <w:t>Le document repose sur une approche fondée sur les droits qui considère la société civile comme un atout pour tout système démocratique. Il met en exergue le rôle de la société civile dans les pays en développement et la nécessité d'améliorer la participation de la société civile dans les processus et dialogues politiques au niveau national et d'établir un environnement favorable à cette fin. La Communication reconnait le rôle central de la société civile dans la gouvernance démocratique et dans la construction de sociétés justes, équitables et inclusives.</w:t>
      </w:r>
    </w:p>
    <w:p w14:paraId="7C05C700" w14:textId="77777777" w:rsidR="0033511A" w:rsidRPr="00BE567A" w:rsidRDefault="0033511A" w:rsidP="0033511A">
      <w:pPr>
        <w:autoSpaceDE w:val="0"/>
        <w:autoSpaceDN w:val="0"/>
        <w:adjustRightInd w:val="0"/>
        <w:spacing w:after="0" w:line="240" w:lineRule="auto"/>
        <w:ind w:left="-567"/>
        <w:rPr>
          <w:rFonts w:ascii="Arial" w:hAnsi="Arial" w:cs="Arial"/>
        </w:rPr>
      </w:pPr>
    </w:p>
    <w:p w14:paraId="04B0351A" w14:textId="77777777" w:rsidR="0033511A" w:rsidRPr="00BE567A" w:rsidRDefault="0033511A" w:rsidP="0033511A">
      <w:pPr>
        <w:autoSpaceDE w:val="0"/>
        <w:autoSpaceDN w:val="0"/>
        <w:adjustRightInd w:val="0"/>
        <w:spacing w:after="0" w:line="240" w:lineRule="auto"/>
        <w:ind w:left="-567"/>
        <w:rPr>
          <w:rFonts w:ascii="Arial" w:hAnsi="Arial" w:cs="Arial"/>
        </w:rPr>
      </w:pPr>
      <w:r w:rsidRPr="00BE567A">
        <w:rPr>
          <w:rFonts w:ascii="Arial" w:hAnsi="Arial" w:cs="Arial"/>
        </w:rPr>
        <w:t xml:space="preserve">Trois priorités sont établies pour l'engagement auprès de la société civile dans l'action extérieure de </w:t>
      </w:r>
      <w:proofErr w:type="gramStart"/>
      <w:r w:rsidRPr="00BE567A">
        <w:rPr>
          <w:rFonts w:ascii="Arial" w:hAnsi="Arial" w:cs="Arial"/>
        </w:rPr>
        <w:t>l'UE :</w:t>
      </w:r>
      <w:proofErr w:type="gramEnd"/>
    </w:p>
    <w:p w14:paraId="76F1E1B6" w14:textId="77777777" w:rsidR="0033511A" w:rsidRPr="00BE567A" w:rsidRDefault="0033511A" w:rsidP="0033511A">
      <w:pPr>
        <w:pStyle w:val="Pardeliste"/>
        <w:numPr>
          <w:ilvl w:val="0"/>
          <w:numId w:val="33"/>
        </w:numPr>
        <w:autoSpaceDE w:val="0"/>
        <w:autoSpaceDN w:val="0"/>
        <w:adjustRightInd w:val="0"/>
        <w:spacing w:after="0" w:line="240" w:lineRule="auto"/>
        <w:ind w:left="-567" w:firstLine="0"/>
        <w:rPr>
          <w:rFonts w:ascii="Arial" w:eastAsiaTheme="majorEastAsia" w:hAnsi="Arial" w:cs="Arial"/>
          <w:b/>
          <w:color w:val="365F91" w:themeColor="accent1" w:themeShade="BF"/>
          <w:sz w:val="28"/>
          <w:szCs w:val="28"/>
        </w:rPr>
      </w:pPr>
      <w:r w:rsidRPr="00BE567A">
        <w:rPr>
          <w:rFonts w:ascii="Arial" w:hAnsi="Arial" w:cs="Arial"/>
        </w:rPr>
        <w:t xml:space="preserve">L'amélioration des efforts pour promouvoir un environnement propice aux OSC dans les pays partenaires. </w:t>
      </w:r>
    </w:p>
    <w:p w14:paraId="386CF6F5" w14:textId="77777777" w:rsidR="0033511A" w:rsidRPr="00BE567A" w:rsidRDefault="0033511A" w:rsidP="0033511A">
      <w:pPr>
        <w:pStyle w:val="Pardeliste"/>
        <w:numPr>
          <w:ilvl w:val="0"/>
          <w:numId w:val="33"/>
        </w:numPr>
        <w:autoSpaceDE w:val="0"/>
        <w:autoSpaceDN w:val="0"/>
        <w:adjustRightInd w:val="0"/>
        <w:spacing w:after="0" w:line="240" w:lineRule="auto"/>
        <w:ind w:left="-567" w:firstLine="0"/>
        <w:rPr>
          <w:rFonts w:ascii="Arial" w:eastAsiaTheme="majorEastAsia" w:hAnsi="Arial" w:cs="Arial"/>
          <w:b/>
          <w:color w:val="365F91" w:themeColor="accent1" w:themeShade="BF"/>
          <w:sz w:val="28"/>
          <w:szCs w:val="28"/>
        </w:rPr>
      </w:pPr>
      <w:r w:rsidRPr="00BE567A">
        <w:rPr>
          <w:rFonts w:ascii="Arial" w:hAnsi="Arial" w:cs="Arial"/>
        </w:rPr>
        <w:t xml:space="preserve">La promotion d'une participation constructive et structurée des OSC dans les politiques nationales des pays partenaires, dans le cycle de programmation de l'UE et dans les processus internationaux. </w:t>
      </w:r>
    </w:p>
    <w:p w14:paraId="474AE7F3" w14:textId="77777777" w:rsidR="0033511A" w:rsidRPr="00BE567A" w:rsidRDefault="0033511A" w:rsidP="0033511A">
      <w:pPr>
        <w:pStyle w:val="Pardeliste"/>
        <w:numPr>
          <w:ilvl w:val="0"/>
          <w:numId w:val="33"/>
        </w:numPr>
        <w:autoSpaceDE w:val="0"/>
        <w:autoSpaceDN w:val="0"/>
        <w:adjustRightInd w:val="0"/>
        <w:spacing w:after="0" w:line="240" w:lineRule="auto"/>
        <w:ind w:left="-567" w:firstLine="0"/>
        <w:rPr>
          <w:rStyle w:val="Titre1Car"/>
          <w:rFonts w:ascii="Arial" w:hAnsi="Arial" w:cs="Arial"/>
          <w:b w:val="0"/>
        </w:rPr>
      </w:pPr>
      <w:r w:rsidRPr="00BE567A">
        <w:rPr>
          <w:rFonts w:ascii="Arial" w:hAnsi="Arial" w:cs="Arial"/>
        </w:rPr>
        <w:t>L'accroissement des capacités des OSC locales à jouer leurs rôles en tant qu'acteurs indépendants du développement de manière plus efficace</w:t>
      </w:r>
    </w:p>
    <w:p w14:paraId="1FB1320A" w14:textId="77777777" w:rsidR="0033511A" w:rsidRPr="00BE567A" w:rsidRDefault="0033511A" w:rsidP="0033511A">
      <w:pPr>
        <w:autoSpaceDE w:val="0"/>
        <w:autoSpaceDN w:val="0"/>
        <w:adjustRightInd w:val="0"/>
        <w:spacing w:after="0" w:line="240" w:lineRule="auto"/>
        <w:ind w:left="-567"/>
        <w:rPr>
          <w:rFonts w:ascii="Arial" w:hAnsi="Arial" w:cs="Arial"/>
          <w:bCs/>
        </w:rPr>
      </w:pPr>
    </w:p>
    <w:p w14:paraId="6BD97E86" w14:textId="77777777" w:rsidR="0033511A" w:rsidRPr="00BE567A" w:rsidRDefault="0033511A" w:rsidP="0033511A">
      <w:pPr>
        <w:autoSpaceDE w:val="0"/>
        <w:autoSpaceDN w:val="0"/>
        <w:adjustRightInd w:val="0"/>
        <w:spacing w:after="0" w:line="240" w:lineRule="auto"/>
        <w:ind w:left="-567"/>
        <w:rPr>
          <w:rFonts w:ascii="Arial" w:hAnsi="Arial" w:cs="Arial"/>
          <w:bCs/>
        </w:rPr>
      </w:pPr>
      <w:r w:rsidRPr="00BE567A">
        <w:rPr>
          <w:rFonts w:ascii="Arial" w:hAnsi="Arial" w:cs="Arial"/>
        </w:rPr>
        <w:t xml:space="preserve">En ce qui concerne les types d'OSC avec qui l'UE souhaite s'engager, la communication </w:t>
      </w:r>
      <w:proofErr w:type="gramStart"/>
      <w:r w:rsidRPr="00BE567A">
        <w:rPr>
          <w:rFonts w:ascii="Arial" w:hAnsi="Arial" w:cs="Arial"/>
        </w:rPr>
        <w:t>énonce :</w:t>
      </w:r>
      <w:proofErr w:type="gramEnd"/>
    </w:p>
    <w:p w14:paraId="11D7D32B" w14:textId="77777777" w:rsidR="0033511A" w:rsidRPr="00BE567A" w:rsidRDefault="0033511A" w:rsidP="0033511A">
      <w:pPr>
        <w:autoSpaceDE w:val="0"/>
        <w:autoSpaceDN w:val="0"/>
        <w:adjustRightInd w:val="0"/>
        <w:spacing w:after="0" w:line="240" w:lineRule="auto"/>
        <w:ind w:left="-567"/>
        <w:rPr>
          <w:rFonts w:ascii="Arial" w:hAnsi="Arial" w:cs="Arial"/>
          <w:bCs/>
          <w:i/>
        </w:rPr>
      </w:pPr>
      <w:r w:rsidRPr="00BE567A">
        <w:rPr>
          <w:rFonts w:ascii="Arial" w:hAnsi="Arial" w:cs="Arial"/>
          <w:i/>
        </w:rPr>
        <w:t>L'UE accorde de l'importance à la diversité et aux spécificités des OSC; elle collabore avec des organisations comptables de leurs actes et transparentes qui partagent son attachement au progrès social et aux valeurs fondamentales de paix, de liberté, d'égalité des droits et de dignité humaine. »</w:t>
      </w:r>
    </w:p>
    <w:p w14:paraId="1FCCCF19" w14:textId="77777777" w:rsidR="0033511A" w:rsidRPr="00BE567A" w:rsidRDefault="0033511A" w:rsidP="0033511A">
      <w:pPr>
        <w:autoSpaceDE w:val="0"/>
        <w:autoSpaceDN w:val="0"/>
        <w:adjustRightInd w:val="0"/>
        <w:spacing w:after="0" w:line="240" w:lineRule="auto"/>
        <w:ind w:left="-567"/>
        <w:rPr>
          <w:rFonts w:ascii="Arial" w:hAnsi="Arial" w:cs="Arial"/>
          <w:bCs/>
          <w:i/>
        </w:rPr>
      </w:pPr>
    </w:p>
    <w:p w14:paraId="0F31A796" w14:textId="77777777" w:rsidR="0033511A" w:rsidRPr="00BE567A" w:rsidRDefault="0033511A" w:rsidP="0033511A">
      <w:pPr>
        <w:pStyle w:val="Sansinterligne"/>
        <w:ind w:left="-567"/>
        <w:rPr>
          <w:rFonts w:ascii="Arial" w:hAnsi="Arial" w:cs="Arial"/>
        </w:rPr>
      </w:pPr>
      <w:r w:rsidRPr="00BE567A">
        <w:rPr>
          <w:rFonts w:ascii="Arial" w:hAnsi="Arial" w:cs="Arial"/>
        </w:rPr>
        <w:t xml:space="preserve">Dans la communication, la CE a lancé le concept de « feuilles de route ». La feuille de route par pays pour l'engagement envers la société civile de l'UE est un processus de consultation et un document dont le but est </w:t>
      </w:r>
      <w:proofErr w:type="gramStart"/>
      <w:r w:rsidRPr="00BE567A">
        <w:rPr>
          <w:rFonts w:ascii="Arial" w:hAnsi="Arial" w:cs="Arial"/>
        </w:rPr>
        <w:t>de :</w:t>
      </w:r>
      <w:proofErr w:type="gramEnd"/>
    </w:p>
    <w:p w14:paraId="7EF6CD20" w14:textId="77777777" w:rsidR="0033511A" w:rsidRPr="0033511A" w:rsidRDefault="0033511A" w:rsidP="0033511A">
      <w:pPr>
        <w:pStyle w:val="Sansinterligne"/>
        <w:numPr>
          <w:ilvl w:val="0"/>
          <w:numId w:val="37"/>
        </w:numPr>
        <w:ind w:left="-567" w:firstLine="0"/>
        <w:jc w:val="left"/>
        <w:rPr>
          <w:rFonts w:ascii="Arial" w:hAnsi="Arial" w:cs="Arial"/>
          <w:iCs/>
        </w:rPr>
      </w:pPr>
      <w:r w:rsidRPr="00BE567A">
        <w:rPr>
          <w:rFonts w:ascii="Arial" w:hAnsi="Arial" w:cs="Arial"/>
        </w:rPr>
        <w:t xml:space="preserve">Comprendre le tissu des </w:t>
      </w:r>
      <w:r w:rsidRPr="00BE567A">
        <w:rPr>
          <w:rFonts w:ascii="Arial" w:hAnsi="Arial" w:cs="Arial"/>
          <w:b/>
        </w:rPr>
        <w:t>OSC</w:t>
      </w:r>
      <w:r w:rsidRPr="00BE567A">
        <w:rPr>
          <w:rFonts w:ascii="Arial" w:hAnsi="Arial" w:cs="Arial"/>
        </w:rPr>
        <w:t xml:space="preserve"> et le contexte plus large dans lequel elles opèrent. Il s'agit d'un prérequis pour </w:t>
      </w:r>
      <w:r w:rsidRPr="00BE567A">
        <w:rPr>
          <w:rFonts w:ascii="Arial" w:hAnsi="Arial" w:cs="Arial"/>
          <w:b/>
        </w:rPr>
        <w:t>un engagement plus stratégique de l'UE au niveau national.</w:t>
      </w:r>
    </w:p>
    <w:p w14:paraId="331BBCD2" w14:textId="77777777" w:rsidR="0033511A" w:rsidRPr="00BE567A" w:rsidRDefault="0033511A" w:rsidP="0033511A">
      <w:pPr>
        <w:pStyle w:val="Sansinterligne"/>
        <w:ind w:left="-567"/>
        <w:jc w:val="left"/>
        <w:rPr>
          <w:rFonts w:ascii="Arial" w:hAnsi="Arial" w:cs="Arial"/>
          <w:iCs/>
        </w:rPr>
      </w:pPr>
    </w:p>
    <w:p w14:paraId="5D284833" w14:textId="77777777" w:rsidR="0033511A" w:rsidRPr="00BE567A" w:rsidRDefault="0033511A" w:rsidP="0033511A">
      <w:pPr>
        <w:pStyle w:val="Sansinterligne"/>
        <w:numPr>
          <w:ilvl w:val="0"/>
          <w:numId w:val="37"/>
        </w:numPr>
        <w:ind w:left="-567" w:firstLine="0"/>
        <w:jc w:val="left"/>
        <w:rPr>
          <w:rFonts w:ascii="Arial" w:hAnsi="Arial" w:cs="Arial"/>
          <w:iCs/>
        </w:rPr>
      </w:pPr>
      <w:r w:rsidRPr="00BE567A">
        <w:rPr>
          <w:rFonts w:ascii="Arial" w:hAnsi="Arial" w:cs="Arial"/>
        </w:rPr>
        <w:t xml:space="preserve">Identifier </w:t>
      </w:r>
      <w:r w:rsidRPr="00BE567A">
        <w:rPr>
          <w:rFonts w:ascii="Arial" w:hAnsi="Arial" w:cs="Arial"/>
          <w:b/>
        </w:rPr>
        <w:t>les objectifs à long terme de la coopération de l'UE avec les OSC</w:t>
      </w:r>
      <w:r w:rsidRPr="00BE567A">
        <w:rPr>
          <w:rFonts w:ascii="Arial" w:hAnsi="Arial" w:cs="Arial"/>
        </w:rPr>
        <w:t xml:space="preserve"> et englober le dialogue ainsi que le soutien opérationnel, identifier des modalités d'application appropriées. </w:t>
      </w:r>
    </w:p>
    <w:p w14:paraId="6D66A4DE" w14:textId="77777777" w:rsidR="0033511A" w:rsidRPr="00BE567A" w:rsidRDefault="0033511A" w:rsidP="0033511A">
      <w:pPr>
        <w:pStyle w:val="Sansinterligne"/>
        <w:numPr>
          <w:ilvl w:val="0"/>
          <w:numId w:val="37"/>
        </w:numPr>
        <w:ind w:left="-567" w:firstLine="0"/>
        <w:jc w:val="left"/>
        <w:rPr>
          <w:rFonts w:ascii="Arial" w:hAnsi="Arial" w:cs="Arial"/>
          <w:iCs/>
        </w:rPr>
      </w:pPr>
      <w:r w:rsidRPr="00BE567A">
        <w:rPr>
          <w:rFonts w:ascii="Arial" w:hAnsi="Arial" w:cs="Arial"/>
        </w:rPr>
        <w:t xml:space="preserve">Ces feuilles de route ont aussi pour objectif de déclencher la </w:t>
      </w:r>
      <w:r w:rsidRPr="00BE567A">
        <w:rPr>
          <w:rFonts w:ascii="Arial" w:hAnsi="Arial" w:cs="Arial"/>
          <w:b/>
        </w:rPr>
        <w:t>coordination et le partage des meilleures pratiques avec les États membres et les autres acteurs internationaux.</w:t>
      </w:r>
    </w:p>
    <w:p w14:paraId="15CFB869" w14:textId="77777777" w:rsidR="0033511A" w:rsidRPr="00BE567A" w:rsidRDefault="0033511A" w:rsidP="0033511A">
      <w:pPr>
        <w:pStyle w:val="Sansinterligne"/>
        <w:numPr>
          <w:ilvl w:val="0"/>
          <w:numId w:val="37"/>
        </w:numPr>
        <w:ind w:left="-567" w:firstLine="0"/>
        <w:jc w:val="left"/>
        <w:rPr>
          <w:rFonts w:ascii="Arial" w:hAnsi="Arial" w:cs="Arial"/>
          <w:iCs/>
        </w:rPr>
      </w:pPr>
      <w:r w:rsidRPr="00BE567A">
        <w:rPr>
          <w:rFonts w:ascii="Arial" w:hAnsi="Arial" w:cs="Arial"/>
        </w:rPr>
        <w:t xml:space="preserve">Améliorer l'impact, la prédictibilité et la visibilité des actions de l'UE, garantir la </w:t>
      </w:r>
      <w:r w:rsidRPr="00BE567A">
        <w:rPr>
          <w:rFonts w:ascii="Arial" w:hAnsi="Arial" w:cs="Arial"/>
          <w:b/>
        </w:rPr>
        <w:t>cohérence et la synergie</w:t>
      </w:r>
      <w:r w:rsidRPr="00BE567A">
        <w:rPr>
          <w:rFonts w:ascii="Arial" w:hAnsi="Arial" w:cs="Arial"/>
        </w:rPr>
        <w:t xml:space="preserve"> à travers les divers secteurs couverts par les relations extérieures de l'UE. </w:t>
      </w:r>
    </w:p>
    <w:p w14:paraId="5CE24D03" w14:textId="77777777" w:rsidR="0033511A" w:rsidRPr="00BE567A" w:rsidRDefault="0033511A" w:rsidP="0033511A">
      <w:pPr>
        <w:pStyle w:val="Sansinterligne"/>
        <w:ind w:left="-567"/>
        <w:rPr>
          <w:rFonts w:ascii="Arial" w:hAnsi="Arial" w:cs="Arial"/>
        </w:rPr>
      </w:pPr>
    </w:p>
    <w:p w14:paraId="4A278447" w14:textId="77777777" w:rsidR="0033511A" w:rsidRDefault="0033511A" w:rsidP="0033511A">
      <w:pPr>
        <w:ind w:left="-567"/>
        <w:rPr>
          <w:rFonts w:ascii="Arial" w:hAnsi="Arial" w:cs="Arial"/>
          <w:sz w:val="24"/>
        </w:rPr>
      </w:pPr>
      <w:r w:rsidRPr="00BE567A">
        <w:rPr>
          <w:rFonts w:ascii="Arial" w:hAnsi="Arial" w:cs="Arial"/>
          <w:sz w:val="24"/>
        </w:rPr>
        <w:t>En bref, la feuille de route des OSC est l'outil que votre délégation UE utilisera pour dialoguer avec les OSC.</w:t>
      </w:r>
    </w:p>
    <w:p w14:paraId="21A85EEE" w14:textId="77777777" w:rsidR="0033511A" w:rsidRDefault="0033511A" w:rsidP="0033511A">
      <w:pPr>
        <w:ind w:left="-567"/>
        <w:rPr>
          <w:rFonts w:ascii="Arial" w:hAnsi="Arial" w:cs="Arial"/>
          <w:sz w:val="24"/>
        </w:rPr>
      </w:pPr>
    </w:p>
    <w:p w14:paraId="58106861" w14:textId="77777777" w:rsidR="0033511A" w:rsidRPr="0033511A" w:rsidRDefault="0033511A" w:rsidP="0033511A">
      <w:pPr>
        <w:autoSpaceDE w:val="0"/>
        <w:autoSpaceDN w:val="0"/>
        <w:adjustRightInd w:val="0"/>
        <w:spacing w:after="0" w:line="240" w:lineRule="auto"/>
        <w:ind w:left="-567"/>
        <w:rPr>
          <w:rFonts w:ascii="Arial" w:hAnsi="Arial" w:cs="Arial"/>
          <w:b/>
          <w:color w:val="E36C0A" w:themeColor="accent6" w:themeShade="BF"/>
          <w:sz w:val="26"/>
          <w:szCs w:val="26"/>
          <w:lang w:val="en-GB" w:bidi="fr-FR"/>
        </w:rPr>
      </w:pPr>
      <w:r w:rsidRPr="0033511A">
        <w:rPr>
          <w:rFonts w:ascii="Arial" w:hAnsi="Arial" w:cs="Arial"/>
          <w:b/>
          <w:color w:val="E36C0A" w:themeColor="accent6" w:themeShade="BF"/>
          <w:sz w:val="26"/>
          <w:szCs w:val="26"/>
          <w:lang w:val="en-GB" w:bidi="fr-FR"/>
        </w:rPr>
        <w:t xml:space="preserve">Communication de la </w:t>
      </w:r>
      <w:proofErr w:type="gramStart"/>
      <w:r w:rsidRPr="0033511A">
        <w:rPr>
          <w:rFonts w:ascii="Arial" w:hAnsi="Arial" w:cs="Arial"/>
          <w:b/>
          <w:color w:val="E36C0A" w:themeColor="accent6" w:themeShade="BF"/>
          <w:sz w:val="26"/>
          <w:szCs w:val="26"/>
          <w:lang w:val="en-GB" w:bidi="fr-FR"/>
        </w:rPr>
        <w:t>CE :</w:t>
      </w:r>
      <w:proofErr w:type="gramEnd"/>
      <w:r w:rsidRPr="0033511A">
        <w:rPr>
          <w:rFonts w:ascii="Arial" w:hAnsi="Arial" w:cs="Arial"/>
          <w:b/>
          <w:color w:val="E36C0A" w:themeColor="accent6" w:themeShade="BF"/>
          <w:sz w:val="26"/>
          <w:szCs w:val="26"/>
          <w:lang w:val="en-GB" w:bidi="fr-FR"/>
        </w:rPr>
        <w:t xml:space="preserve"> Un rôle plus important pour le secteur privé en vue de parvenir à une croissance inclusive et durable dans les pays en développement, 13 mai 2014 </w:t>
      </w:r>
    </w:p>
    <w:p w14:paraId="75BF8ED0" w14:textId="77777777" w:rsidR="00CC2584" w:rsidRPr="00CC2584" w:rsidRDefault="00CC2584" w:rsidP="0033511A">
      <w:pPr>
        <w:autoSpaceDE w:val="0"/>
        <w:autoSpaceDN w:val="0"/>
        <w:adjustRightInd w:val="0"/>
        <w:spacing w:after="0" w:line="240" w:lineRule="auto"/>
        <w:ind w:left="-567"/>
        <w:rPr>
          <w:rStyle w:val="Titre1Car"/>
          <w:rFonts w:ascii="Arial" w:eastAsia="PMingLiU" w:hAnsi="Arial" w:cs="Arial"/>
          <w:b w:val="0"/>
          <w:lang w:val="en-GB" w:eastAsia="zh-TW"/>
        </w:rPr>
      </w:pPr>
    </w:p>
    <w:p w14:paraId="0ABB8869" w14:textId="77777777" w:rsidR="0033511A" w:rsidRPr="00BE567A" w:rsidRDefault="0033511A" w:rsidP="0033511A">
      <w:pPr>
        <w:autoSpaceDE w:val="0"/>
        <w:autoSpaceDN w:val="0"/>
        <w:adjustRightInd w:val="0"/>
        <w:spacing w:after="0" w:line="240" w:lineRule="auto"/>
        <w:ind w:left="-567"/>
        <w:rPr>
          <w:rFonts w:ascii="Arial" w:hAnsi="Arial" w:cs="Arial"/>
          <w:bCs/>
        </w:rPr>
      </w:pPr>
      <w:r w:rsidRPr="00BE567A">
        <w:rPr>
          <w:rFonts w:ascii="Arial" w:hAnsi="Arial" w:cs="Arial"/>
        </w:rPr>
        <w:t>Ce document souligne l'importance de travailler avec le secteur privé en tant que partenaire dans la lutte contre la pauvreté, car il fournit 90% des emplois dans les pays en développement et joue un rôle majeur en investissant dans l'agriculture durable et en bâtissant une économie verte inclusive. La CE considère le secteur privé comme une source de financement et de partenaires pour les gouvernements, ONG et donateurs et le soutien du secteur privé a augmenté ces dernières années, par exemple en utilisant le mixage de financement pour impliquer le secteur privé comme source de financement.</w:t>
      </w:r>
    </w:p>
    <w:p w14:paraId="576CE841" w14:textId="77777777" w:rsidR="0033511A" w:rsidRPr="00BE567A" w:rsidRDefault="0033511A" w:rsidP="0033511A">
      <w:pPr>
        <w:autoSpaceDE w:val="0"/>
        <w:autoSpaceDN w:val="0"/>
        <w:adjustRightInd w:val="0"/>
        <w:spacing w:after="0" w:line="240" w:lineRule="auto"/>
        <w:ind w:left="-567"/>
        <w:rPr>
          <w:rFonts w:ascii="Arial" w:hAnsi="Arial" w:cs="Arial"/>
          <w:bCs/>
        </w:rPr>
      </w:pPr>
    </w:p>
    <w:p w14:paraId="0816E3BA" w14:textId="77777777" w:rsidR="0033511A" w:rsidRPr="00BE567A" w:rsidRDefault="0033511A" w:rsidP="0033511A">
      <w:pPr>
        <w:autoSpaceDE w:val="0"/>
        <w:autoSpaceDN w:val="0"/>
        <w:adjustRightInd w:val="0"/>
        <w:spacing w:after="0" w:line="240" w:lineRule="auto"/>
        <w:ind w:left="-567"/>
        <w:rPr>
          <w:rFonts w:ascii="Arial" w:hAnsi="Arial" w:cs="Arial"/>
          <w:bCs/>
        </w:rPr>
      </w:pPr>
      <w:r w:rsidRPr="00BE567A">
        <w:rPr>
          <w:rFonts w:ascii="Arial" w:hAnsi="Arial" w:cs="Arial"/>
        </w:rPr>
        <w:t xml:space="preserve">Ce document met en avant 12 actions auxquelles la Commission pense pouvoir conférer une valeur ajoutée à travers de meilleurs environnements réglementaires dans les pays partenaires, le développement commercial et l'accès au financement, notamment pour les micro-, petites et moyennes entreprises génératrices d'emploi, et la promotion de questions transversales comme l'Agenda pour le travail décent, l'emploi des femmes et des jeunes et les droits de l'homme. Le document identifie des domaines où il faudrait catalyser les financements et l'engagement du secteur privé afin de compléter l'aide au développement de l'Union européenne. </w:t>
      </w:r>
    </w:p>
    <w:p w14:paraId="712B0F70" w14:textId="77777777" w:rsidR="0033511A" w:rsidRPr="00BE567A" w:rsidRDefault="0033511A" w:rsidP="0033511A">
      <w:pPr>
        <w:autoSpaceDE w:val="0"/>
        <w:autoSpaceDN w:val="0"/>
        <w:adjustRightInd w:val="0"/>
        <w:spacing w:after="0" w:line="240" w:lineRule="auto"/>
        <w:ind w:left="-567"/>
        <w:rPr>
          <w:rFonts w:ascii="Arial" w:hAnsi="Arial" w:cs="Arial"/>
          <w:bCs/>
        </w:rPr>
      </w:pPr>
    </w:p>
    <w:p w14:paraId="24875D39" w14:textId="50EA28B2" w:rsidR="0033511A" w:rsidRPr="00BE567A" w:rsidRDefault="0033511A" w:rsidP="0033511A">
      <w:pPr>
        <w:autoSpaceDE w:val="0"/>
        <w:autoSpaceDN w:val="0"/>
        <w:adjustRightInd w:val="0"/>
        <w:spacing w:after="0" w:line="240" w:lineRule="auto"/>
        <w:ind w:left="-567"/>
        <w:rPr>
          <w:rFonts w:ascii="Arial" w:hAnsi="Arial" w:cs="Arial"/>
          <w:bCs/>
        </w:rPr>
      </w:pPr>
      <w:r w:rsidRPr="00BE567A">
        <w:rPr>
          <w:rFonts w:ascii="Arial" w:hAnsi="Arial" w:cs="Arial"/>
        </w:rPr>
        <w:t>Ce document démontre l'accent mis par la CE sur le rôle du secteur privé dans le développement et déclare que la CE encouragera l'investissement responsable dans les pays en développement, ou des chaînes d'approvisionnement et des modes de production durables (l'accent est mis également sur l'ODD 12). Ce document est fondamental pour la progression de l'action extérieure et de la coopération au développement de la CE, car cela pourrait aboutir à davantage de coopération intersectorielle et de fin</w:t>
      </w:r>
      <w:r>
        <w:rPr>
          <w:rFonts w:ascii="Arial" w:hAnsi="Arial" w:cs="Arial"/>
        </w:rPr>
        <w:t>ancement vers le secteur privé.</w:t>
      </w:r>
      <w:bookmarkStart w:id="0" w:name="_GoBack"/>
      <w:bookmarkEnd w:id="0"/>
    </w:p>
    <w:p w14:paraId="7810266D" w14:textId="77777777" w:rsidR="0033511A" w:rsidRPr="00BE567A" w:rsidRDefault="0033511A" w:rsidP="0033511A">
      <w:pPr>
        <w:autoSpaceDE w:val="0"/>
        <w:autoSpaceDN w:val="0"/>
        <w:adjustRightInd w:val="0"/>
        <w:spacing w:after="0" w:line="240" w:lineRule="auto"/>
        <w:rPr>
          <w:rFonts w:ascii="Arial" w:hAnsi="Arial" w:cs="Arial"/>
          <w:bCs/>
        </w:rPr>
      </w:pPr>
    </w:p>
    <w:p w14:paraId="1E9F1D52" w14:textId="77777777" w:rsidR="0033511A" w:rsidRPr="00BE567A" w:rsidRDefault="0033511A" w:rsidP="0033511A">
      <w:pPr>
        <w:autoSpaceDE w:val="0"/>
        <w:autoSpaceDN w:val="0"/>
        <w:adjustRightInd w:val="0"/>
        <w:spacing w:after="0" w:line="240" w:lineRule="auto"/>
        <w:rPr>
          <w:rFonts w:ascii="Arial" w:hAnsi="Arial" w:cs="Arial"/>
        </w:rPr>
      </w:pPr>
    </w:p>
    <w:p w14:paraId="12C34C0C" w14:textId="77777777" w:rsidR="00CC2584" w:rsidRPr="00CC2584" w:rsidRDefault="00CC2584" w:rsidP="00CC2584">
      <w:pPr>
        <w:autoSpaceDE w:val="0"/>
        <w:autoSpaceDN w:val="0"/>
        <w:adjustRightInd w:val="0"/>
        <w:spacing w:after="0" w:line="240" w:lineRule="auto"/>
        <w:ind w:left="-567"/>
        <w:rPr>
          <w:rFonts w:ascii="Arial" w:hAnsi="Arial" w:cs="Arial"/>
          <w:bCs/>
          <w:lang w:val="en-GB"/>
        </w:rPr>
      </w:pPr>
    </w:p>
    <w:p w14:paraId="69492C2B" w14:textId="77777777" w:rsidR="00CC2584" w:rsidRPr="00CC2584" w:rsidRDefault="00CC2584" w:rsidP="00CC2584">
      <w:pPr>
        <w:autoSpaceDE w:val="0"/>
        <w:autoSpaceDN w:val="0"/>
        <w:adjustRightInd w:val="0"/>
        <w:spacing w:after="0" w:line="240" w:lineRule="auto"/>
        <w:ind w:left="-567"/>
        <w:rPr>
          <w:rFonts w:ascii="Arial" w:hAnsi="Arial" w:cs="Arial"/>
          <w:bCs/>
          <w:lang w:val="en-GB"/>
        </w:rPr>
      </w:pPr>
    </w:p>
    <w:p w14:paraId="37305639" w14:textId="77777777" w:rsidR="00CC2584" w:rsidRPr="00CC2584" w:rsidRDefault="00CC2584" w:rsidP="00CC2584">
      <w:pPr>
        <w:autoSpaceDE w:val="0"/>
        <w:autoSpaceDN w:val="0"/>
        <w:adjustRightInd w:val="0"/>
        <w:spacing w:after="0" w:line="240" w:lineRule="auto"/>
        <w:ind w:left="-567"/>
        <w:rPr>
          <w:rFonts w:ascii="Arial" w:hAnsi="Arial" w:cs="Arial"/>
          <w:bCs/>
          <w:lang w:val="en-GB"/>
        </w:rPr>
      </w:pPr>
    </w:p>
    <w:p w14:paraId="54689210" w14:textId="77777777" w:rsidR="00CC2584" w:rsidRPr="00CC2584" w:rsidRDefault="00CC2584" w:rsidP="00CC2584">
      <w:pPr>
        <w:autoSpaceDE w:val="0"/>
        <w:autoSpaceDN w:val="0"/>
        <w:adjustRightInd w:val="0"/>
        <w:spacing w:after="0" w:line="240" w:lineRule="auto"/>
        <w:ind w:left="-567"/>
        <w:rPr>
          <w:rFonts w:ascii="Arial" w:hAnsi="Arial" w:cs="Arial"/>
          <w:bCs/>
          <w:lang w:val="en-GB"/>
        </w:rPr>
      </w:pPr>
    </w:p>
    <w:p w14:paraId="4AB842FC" w14:textId="77777777" w:rsidR="00CC2584" w:rsidRPr="00CC2584" w:rsidRDefault="00CC2584" w:rsidP="00CC2584">
      <w:pPr>
        <w:autoSpaceDE w:val="0"/>
        <w:autoSpaceDN w:val="0"/>
        <w:adjustRightInd w:val="0"/>
        <w:spacing w:after="0" w:line="240" w:lineRule="auto"/>
        <w:ind w:left="-567"/>
        <w:rPr>
          <w:rFonts w:ascii="Arial" w:hAnsi="Arial" w:cs="Arial"/>
          <w:bCs/>
          <w:lang w:val="en-GB"/>
        </w:rPr>
      </w:pPr>
    </w:p>
    <w:p w14:paraId="19EE88DA" w14:textId="77777777" w:rsidR="00CC2584" w:rsidRPr="00CC2584" w:rsidRDefault="00CC2584" w:rsidP="00CC2584">
      <w:pPr>
        <w:autoSpaceDE w:val="0"/>
        <w:autoSpaceDN w:val="0"/>
        <w:adjustRightInd w:val="0"/>
        <w:spacing w:after="0" w:line="240" w:lineRule="auto"/>
        <w:ind w:left="-567"/>
        <w:rPr>
          <w:rFonts w:ascii="Arial" w:hAnsi="Arial" w:cs="Arial"/>
          <w:lang w:val="en-GB" w:eastAsia="zh-TW"/>
        </w:rPr>
      </w:pPr>
    </w:p>
    <w:p w14:paraId="6E0C263B" w14:textId="15A694A3" w:rsidR="000B6027" w:rsidRPr="00CC2584" w:rsidRDefault="000B6027" w:rsidP="00CC2584">
      <w:pPr>
        <w:spacing w:after="0" w:line="240" w:lineRule="auto"/>
        <w:ind w:left="-567" w:right="-1039"/>
        <w:jc w:val="left"/>
        <w:rPr>
          <w:rFonts w:ascii="Arial" w:hAnsi="Arial" w:cs="Arial"/>
          <w:sz w:val="22"/>
          <w:szCs w:val="22"/>
          <w:lang w:val="en-GB"/>
        </w:rPr>
      </w:pPr>
    </w:p>
    <w:sectPr w:rsidR="000B6027" w:rsidRPr="00CC2584" w:rsidSect="002056FE">
      <w:headerReference w:type="default" r:id="rId9"/>
      <w:footerReference w:type="default" r:id="rId10"/>
      <w:pgSz w:w="11906" w:h="16838"/>
      <w:pgMar w:top="993" w:right="1440" w:bottom="2093" w:left="1440"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23ACC" w14:textId="77777777" w:rsidR="009D3D52" w:rsidRDefault="009D3D52" w:rsidP="00A73CC1">
      <w:pPr>
        <w:spacing w:after="0" w:line="240" w:lineRule="auto"/>
      </w:pPr>
      <w:r>
        <w:separator/>
      </w:r>
    </w:p>
  </w:endnote>
  <w:endnote w:type="continuationSeparator" w:id="0">
    <w:p w14:paraId="68EAE729" w14:textId="77777777" w:rsidR="009D3D52" w:rsidRDefault="009D3D52" w:rsidP="00A7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PMingLiU">
    <w:altName w:val="新細明體"/>
    <w:panose1 w:val="000000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7ED43" w14:textId="77777777" w:rsidR="00A73CC1" w:rsidRDefault="00A73CC1" w:rsidP="00A73CC1">
    <w:pPr>
      <w:pStyle w:val="Pieddepage"/>
      <w:ind w:left="-1440"/>
    </w:pPr>
    <w:r>
      <w:rPr>
        <w:noProof/>
        <w:lang w:val="fr-FR" w:eastAsia="fr-FR"/>
      </w:rPr>
      <w:drawing>
        <wp:inline distT="0" distB="0" distL="0" distR="0" wp14:anchorId="5D84FA81" wp14:editId="518B0233">
          <wp:extent cx="7595235" cy="896783"/>
          <wp:effectExtent l="0" t="0" r="0" b="0"/>
          <wp:docPr id="11" name="Image 11" descr="../../../../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6726" cy="901682"/>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37B6E" w14:textId="77777777" w:rsidR="009D3D52" w:rsidRDefault="009D3D52" w:rsidP="00A73CC1">
      <w:pPr>
        <w:spacing w:after="0" w:line="240" w:lineRule="auto"/>
      </w:pPr>
      <w:r>
        <w:separator/>
      </w:r>
    </w:p>
  </w:footnote>
  <w:footnote w:type="continuationSeparator" w:id="0">
    <w:p w14:paraId="29507EAA" w14:textId="77777777" w:rsidR="009D3D52" w:rsidRDefault="009D3D52" w:rsidP="00A73CC1">
      <w:pPr>
        <w:spacing w:after="0" w:line="240" w:lineRule="auto"/>
      </w:pPr>
      <w:r>
        <w:continuationSeparator/>
      </w:r>
    </w:p>
  </w:footnote>
  <w:footnote w:id="1">
    <w:p w14:paraId="0CE3108F" w14:textId="77777777" w:rsidR="0033511A" w:rsidRPr="00EC0A77" w:rsidRDefault="0033511A" w:rsidP="0033511A">
      <w:pPr>
        <w:pStyle w:val="Notedebasdepage"/>
        <w:rPr>
          <w:lang w:val="en-GB"/>
        </w:rPr>
      </w:pPr>
      <w:r>
        <w:rPr>
          <w:rStyle w:val="Appelnotedebasdep"/>
        </w:rPr>
        <w:footnoteRef/>
      </w:r>
      <w:r>
        <w:t xml:space="preserve"> </w:t>
      </w:r>
      <w:hyperlink r:id="rId1">
        <w:r>
          <w:rPr>
            <w:rStyle w:val="Lienhypertexte"/>
          </w:rPr>
          <w:t>http://www.consilium.europa.eu/uedocs/cms_Data/docs/pressdata/EN/foraff/130243.pdf</w:t>
        </w:r>
      </w:hyperlink>
      <w:r>
        <w:t xml:space="preserve"> </w:t>
      </w:r>
    </w:p>
  </w:footnote>
  <w:footnote w:id="2">
    <w:p w14:paraId="48A5F4B6" w14:textId="77777777" w:rsidR="0033511A" w:rsidRPr="00EC0A77" w:rsidRDefault="0033511A" w:rsidP="0033511A">
      <w:pPr>
        <w:pStyle w:val="Notedebasdepage"/>
        <w:rPr>
          <w:lang w:val="en-GB"/>
        </w:rPr>
      </w:pPr>
      <w:r>
        <w:rPr>
          <w:rStyle w:val="Appelnotedebasdep"/>
        </w:rPr>
        <w:footnoteRef/>
      </w:r>
      <w:r>
        <w:t xml:space="preserve"> </w:t>
      </w:r>
      <w:hyperlink r:id="rId2">
        <w:r>
          <w:rPr>
            <w:rStyle w:val="Lienhypertexte"/>
          </w:rPr>
          <w:t>http://www.consilium.europa.eu/uedocs/cms_Data/docs/pressdata/EN/foraff/142682.pdf</w:t>
        </w:r>
      </w:hyperlink>
      <w:r>
        <w:rPr>
          <w:rStyle w:val="Lienhypertexte"/>
        </w:rPr>
        <w:t xml:space="preserve"> </w:t>
      </w:r>
    </w:p>
  </w:footnote>
  <w:footnote w:id="3">
    <w:p w14:paraId="7836AE97" w14:textId="77777777" w:rsidR="0033511A" w:rsidRDefault="0033511A" w:rsidP="0033511A">
      <w:pPr>
        <w:pStyle w:val="Notedebasdepage"/>
        <w:rPr>
          <w:lang w:val="en-GB"/>
        </w:rPr>
      </w:pPr>
      <w:r>
        <w:rPr>
          <w:rStyle w:val="Appelnotedebasdep"/>
        </w:rPr>
        <w:footnoteRef/>
      </w:r>
      <w:r>
        <w:t xml:space="preserve"> </w:t>
      </w:r>
      <w:hyperlink r:id="rId3">
        <w:r>
          <w:rPr>
            <w:rStyle w:val="Lienhypertexte"/>
          </w:rPr>
          <w:t>http://www.oecd.org/dac/gender-development/dac-gender-equality-marker.htm</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B4E6C" w14:textId="44ED72B2" w:rsidR="00A73CC1" w:rsidRDefault="00480CBB" w:rsidP="002056FE">
    <w:pPr>
      <w:pStyle w:val="En-tte"/>
      <w:tabs>
        <w:tab w:val="clear" w:pos="9072"/>
        <w:tab w:val="right" w:pos="8647"/>
      </w:tabs>
      <w:ind w:left="-1440"/>
    </w:pPr>
    <w:r>
      <w:rPr>
        <w:noProof/>
        <w:lang w:val="fr-FR" w:eastAsia="fr-FR"/>
      </w:rPr>
      <w:drawing>
        <wp:inline distT="0" distB="0" distL="0" distR="0" wp14:anchorId="3129901A" wp14:editId="2C4314A1">
          <wp:extent cx="7850040" cy="1488440"/>
          <wp:effectExtent l="0" t="0" r="0" b="10160"/>
          <wp:docPr id="2" name="Image 2" descr="../../../../../../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331" cy="149304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2203E4B"/>
    <w:multiLevelType w:val="hybridMultilevel"/>
    <w:tmpl w:val="1D44FE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6F655C"/>
    <w:multiLevelType w:val="multilevel"/>
    <w:tmpl w:val="9948F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A2D4D"/>
    <w:multiLevelType w:val="hybridMultilevel"/>
    <w:tmpl w:val="2478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17447F"/>
    <w:multiLevelType w:val="hybridMultilevel"/>
    <w:tmpl w:val="DAF68728"/>
    <w:lvl w:ilvl="0" w:tplc="041D0019">
      <w:start w:val="1"/>
      <w:numFmt w:val="lowerLetter"/>
      <w:lvlText w:val="%1."/>
      <w:lvlJc w:val="left"/>
      <w:pPr>
        <w:ind w:left="1386" w:hanging="360"/>
      </w:pPr>
    </w:lvl>
    <w:lvl w:ilvl="1" w:tplc="08090019" w:tentative="1">
      <w:start w:val="1"/>
      <w:numFmt w:val="lowerLetter"/>
      <w:lvlText w:val="%2."/>
      <w:lvlJc w:val="left"/>
      <w:pPr>
        <w:ind w:left="2182" w:hanging="360"/>
      </w:pPr>
    </w:lvl>
    <w:lvl w:ilvl="2" w:tplc="0809001B" w:tentative="1">
      <w:start w:val="1"/>
      <w:numFmt w:val="lowerRoman"/>
      <w:lvlText w:val="%3."/>
      <w:lvlJc w:val="right"/>
      <w:pPr>
        <w:ind w:left="2902" w:hanging="180"/>
      </w:pPr>
    </w:lvl>
    <w:lvl w:ilvl="3" w:tplc="0809000F" w:tentative="1">
      <w:start w:val="1"/>
      <w:numFmt w:val="decimal"/>
      <w:lvlText w:val="%4."/>
      <w:lvlJc w:val="left"/>
      <w:pPr>
        <w:ind w:left="3622" w:hanging="360"/>
      </w:pPr>
    </w:lvl>
    <w:lvl w:ilvl="4" w:tplc="08090019" w:tentative="1">
      <w:start w:val="1"/>
      <w:numFmt w:val="lowerLetter"/>
      <w:lvlText w:val="%5."/>
      <w:lvlJc w:val="left"/>
      <w:pPr>
        <w:ind w:left="4342" w:hanging="360"/>
      </w:pPr>
    </w:lvl>
    <w:lvl w:ilvl="5" w:tplc="0809001B" w:tentative="1">
      <w:start w:val="1"/>
      <w:numFmt w:val="lowerRoman"/>
      <w:lvlText w:val="%6."/>
      <w:lvlJc w:val="right"/>
      <w:pPr>
        <w:ind w:left="5062" w:hanging="180"/>
      </w:pPr>
    </w:lvl>
    <w:lvl w:ilvl="6" w:tplc="0809000F" w:tentative="1">
      <w:start w:val="1"/>
      <w:numFmt w:val="decimal"/>
      <w:lvlText w:val="%7."/>
      <w:lvlJc w:val="left"/>
      <w:pPr>
        <w:ind w:left="5782" w:hanging="360"/>
      </w:pPr>
    </w:lvl>
    <w:lvl w:ilvl="7" w:tplc="08090019" w:tentative="1">
      <w:start w:val="1"/>
      <w:numFmt w:val="lowerLetter"/>
      <w:lvlText w:val="%8."/>
      <w:lvlJc w:val="left"/>
      <w:pPr>
        <w:ind w:left="6502" w:hanging="360"/>
      </w:pPr>
    </w:lvl>
    <w:lvl w:ilvl="8" w:tplc="0809001B" w:tentative="1">
      <w:start w:val="1"/>
      <w:numFmt w:val="lowerRoman"/>
      <w:lvlText w:val="%9."/>
      <w:lvlJc w:val="right"/>
      <w:pPr>
        <w:ind w:left="7222" w:hanging="180"/>
      </w:pPr>
    </w:lvl>
  </w:abstractNum>
  <w:abstractNum w:abstractNumId="4">
    <w:nsid w:val="15230751"/>
    <w:multiLevelType w:val="hybridMultilevel"/>
    <w:tmpl w:val="C76CF806"/>
    <w:lvl w:ilvl="0" w:tplc="A4B66E3E">
      <w:start w:val="1"/>
      <w:numFmt w:val="bullet"/>
      <w:lvlText w:val="•"/>
      <w:lvlJc w:val="left"/>
      <w:pPr>
        <w:tabs>
          <w:tab w:val="num" w:pos="720"/>
        </w:tabs>
        <w:ind w:left="720" w:hanging="360"/>
      </w:pPr>
      <w:rPr>
        <w:rFonts w:ascii="Arial" w:hAnsi="Arial" w:hint="default"/>
      </w:rPr>
    </w:lvl>
    <w:lvl w:ilvl="1" w:tplc="AC46A69C">
      <w:start w:val="2322"/>
      <w:numFmt w:val="bullet"/>
      <w:lvlText w:val="–"/>
      <w:lvlJc w:val="left"/>
      <w:pPr>
        <w:tabs>
          <w:tab w:val="num" w:pos="1440"/>
        </w:tabs>
        <w:ind w:left="1440" w:hanging="360"/>
      </w:pPr>
      <w:rPr>
        <w:rFonts w:ascii="Arial" w:hAnsi="Arial" w:hint="default"/>
      </w:rPr>
    </w:lvl>
    <w:lvl w:ilvl="2" w:tplc="634CAF16" w:tentative="1">
      <w:start w:val="1"/>
      <w:numFmt w:val="bullet"/>
      <w:lvlText w:val="•"/>
      <w:lvlJc w:val="left"/>
      <w:pPr>
        <w:tabs>
          <w:tab w:val="num" w:pos="2160"/>
        </w:tabs>
        <w:ind w:left="2160" w:hanging="360"/>
      </w:pPr>
      <w:rPr>
        <w:rFonts w:ascii="Arial" w:hAnsi="Arial" w:hint="default"/>
      </w:rPr>
    </w:lvl>
    <w:lvl w:ilvl="3" w:tplc="799E0CCC" w:tentative="1">
      <w:start w:val="1"/>
      <w:numFmt w:val="bullet"/>
      <w:lvlText w:val="•"/>
      <w:lvlJc w:val="left"/>
      <w:pPr>
        <w:tabs>
          <w:tab w:val="num" w:pos="2880"/>
        </w:tabs>
        <w:ind w:left="2880" w:hanging="360"/>
      </w:pPr>
      <w:rPr>
        <w:rFonts w:ascii="Arial" w:hAnsi="Arial" w:hint="default"/>
      </w:rPr>
    </w:lvl>
    <w:lvl w:ilvl="4" w:tplc="585AC7BC" w:tentative="1">
      <w:start w:val="1"/>
      <w:numFmt w:val="bullet"/>
      <w:lvlText w:val="•"/>
      <w:lvlJc w:val="left"/>
      <w:pPr>
        <w:tabs>
          <w:tab w:val="num" w:pos="3600"/>
        </w:tabs>
        <w:ind w:left="3600" w:hanging="360"/>
      </w:pPr>
      <w:rPr>
        <w:rFonts w:ascii="Arial" w:hAnsi="Arial" w:hint="default"/>
      </w:rPr>
    </w:lvl>
    <w:lvl w:ilvl="5" w:tplc="FD7E5ECE" w:tentative="1">
      <w:start w:val="1"/>
      <w:numFmt w:val="bullet"/>
      <w:lvlText w:val="•"/>
      <w:lvlJc w:val="left"/>
      <w:pPr>
        <w:tabs>
          <w:tab w:val="num" w:pos="4320"/>
        </w:tabs>
        <w:ind w:left="4320" w:hanging="360"/>
      </w:pPr>
      <w:rPr>
        <w:rFonts w:ascii="Arial" w:hAnsi="Arial" w:hint="default"/>
      </w:rPr>
    </w:lvl>
    <w:lvl w:ilvl="6" w:tplc="723CE8E2" w:tentative="1">
      <w:start w:val="1"/>
      <w:numFmt w:val="bullet"/>
      <w:lvlText w:val="•"/>
      <w:lvlJc w:val="left"/>
      <w:pPr>
        <w:tabs>
          <w:tab w:val="num" w:pos="5040"/>
        </w:tabs>
        <w:ind w:left="5040" w:hanging="360"/>
      </w:pPr>
      <w:rPr>
        <w:rFonts w:ascii="Arial" w:hAnsi="Arial" w:hint="default"/>
      </w:rPr>
    </w:lvl>
    <w:lvl w:ilvl="7" w:tplc="AF247C5A" w:tentative="1">
      <w:start w:val="1"/>
      <w:numFmt w:val="bullet"/>
      <w:lvlText w:val="•"/>
      <w:lvlJc w:val="left"/>
      <w:pPr>
        <w:tabs>
          <w:tab w:val="num" w:pos="5760"/>
        </w:tabs>
        <w:ind w:left="5760" w:hanging="360"/>
      </w:pPr>
      <w:rPr>
        <w:rFonts w:ascii="Arial" w:hAnsi="Arial" w:hint="default"/>
      </w:rPr>
    </w:lvl>
    <w:lvl w:ilvl="8" w:tplc="19F63BDE" w:tentative="1">
      <w:start w:val="1"/>
      <w:numFmt w:val="bullet"/>
      <w:lvlText w:val="•"/>
      <w:lvlJc w:val="left"/>
      <w:pPr>
        <w:tabs>
          <w:tab w:val="num" w:pos="6480"/>
        </w:tabs>
        <w:ind w:left="6480" w:hanging="360"/>
      </w:pPr>
      <w:rPr>
        <w:rFonts w:ascii="Arial" w:hAnsi="Arial" w:hint="default"/>
      </w:rPr>
    </w:lvl>
  </w:abstractNum>
  <w:abstractNum w:abstractNumId="5">
    <w:nsid w:val="18B4685F"/>
    <w:multiLevelType w:val="hybridMultilevel"/>
    <w:tmpl w:val="9F6EB3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EE02F2C"/>
    <w:multiLevelType w:val="hybridMultilevel"/>
    <w:tmpl w:val="E94C8E94"/>
    <w:lvl w:ilvl="0" w:tplc="347CC7A0">
      <w:start w:val="1"/>
      <w:numFmt w:val="bullet"/>
      <w:lvlText w:val="•"/>
      <w:lvlJc w:val="left"/>
      <w:pPr>
        <w:tabs>
          <w:tab w:val="num" w:pos="720"/>
        </w:tabs>
        <w:ind w:left="720" w:hanging="360"/>
      </w:pPr>
      <w:rPr>
        <w:rFonts w:ascii="Arial" w:hAnsi="Arial" w:hint="default"/>
      </w:rPr>
    </w:lvl>
    <w:lvl w:ilvl="1" w:tplc="C1C06DDA" w:tentative="1">
      <w:start w:val="1"/>
      <w:numFmt w:val="bullet"/>
      <w:lvlText w:val="•"/>
      <w:lvlJc w:val="left"/>
      <w:pPr>
        <w:tabs>
          <w:tab w:val="num" w:pos="1440"/>
        </w:tabs>
        <w:ind w:left="1440" w:hanging="360"/>
      </w:pPr>
      <w:rPr>
        <w:rFonts w:ascii="Arial" w:hAnsi="Arial" w:hint="default"/>
      </w:rPr>
    </w:lvl>
    <w:lvl w:ilvl="2" w:tplc="BEA44C10" w:tentative="1">
      <w:start w:val="1"/>
      <w:numFmt w:val="bullet"/>
      <w:lvlText w:val="•"/>
      <w:lvlJc w:val="left"/>
      <w:pPr>
        <w:tabs>
          <w:tab w:val="num" w:pos="2160"/>
        </w:tabs>
        <w:ind w:left="2160" w:hanging="360"/>
      </w:pPr>
      <w:rPr>
        <w:rFonts w:ascii="Arial" w:hAnsi="Arial" w:hint="default"/>
      </w:rPr>
    </w:lvl>
    <w:lvl w:ilvl="3" w:tplc="4F862E84" w:tentative="1">
      <w:start w:val="1"/>
      <w:numFmt w:val="bullet"/>
      <w:lvlText w:val="•"/>
      <w:lvlJc w:val="left"/>
      <w:pPr>
        <w:tabs>
          <w:tab w:val="num" w:pos="2880"/>
        </w:tabs>
        <w:ind w:left="2880" w:hanging="360"/>
      </w:pPr>
      <w:rPr>
        <w:rFonts w:ascii="Arial" w:hAnsi="Arial" w:hint="default"/>
      </w:rPr>
    </w:lvl>
    <w:lvl w:ilvl="4" w:tplc="F216D266" w:tentative="1">
      <w:start w:val="1"/>
      <w:numFmt w:val="bullet"/>
      <w:lvlText w:val="•"/>
      <w:lvlJc w:val="left"/>
      <w:pPr>
        <w:tabs>
          <w:tab w:val="num" w:pos="3600"/>
        </w:tabs>
        <w:ind w:left="3600" w:hanging="360"/>
      </w:pPr>
      <w:rPr>
        <w:rFonts w:ascii="Arial" w:hAnsi="Arial" w:hint="default"/>
      </w:rPr>
    </w:lvl>
    <w:lvl w:ilvl="5" w:tplc="0EDC7E6A" w:tentative="1">
      <w:start w:val="1"/>
      <w:numFmt w:val="bullet"/>
      <w:lvlText w:val="•"/>
      <w:lvlJc w:val="left"/>
      <w:pPr>
        <w:tabs>
          <w:tab w:val="num" w:pos="4320"/>
        </w:tabs>
        <w:ind w:left="4320" w:hanging="360"/>
      </w:pPr>
      <w:rPr>
        <w:rFonts w:ascii="Arial" w:hAnsi="Arial" w:hint="default"/>
      </w:rPr>
    </w:lvl>
    <w:lvl w:ilvl="6" w:tplc="15C6B580" w:tentative="1">
      <w:start w:val="1"/>
      <w:numFmt w:val="bullet"/>
      <w:lvlText w:val="•"/>
      <w:lvlJc w:val="left"/>
      <w:pPr>
        <w:tabs>
          <w:tab w:val="num" w:pos="5040"/>
        </w:tabs>
        <w:ind w:left="5040" w:hanging="360"/>
      </w:pPr>
      <w:rPr>
        <w:rFonts w:ascii="Arial" w:hAnsi="Arial" w:hint="default"/>
      </w:rPr>
    </w:lvl>
    <w:lvl w:ilvl="7" w:tplc="5D305B52" w:tentative="1">
      <w:start w:val="1"/>
      <w:numFmt w:val="bullet"/>
      <w:lvlText w:val="•"/>
      <w:lvlJc w:val="left"/>
      <w:pPr>
        <w:tabs>
          <w:tab w:val="num" w:pos="5760"/>
        </w:tabs>
        <w:ind w:left="5760" w:hanging="360"/>
      </w:pPr>
      <w:rPr>
        <w:rFonts w:ascii="Arial" w:hAnsi="Arial" w:hint="default"/>
      </w:rPr>
    </w:lvl>
    <w:lvl w:ilvl="8" w:tplc="B0EE2A74" w:tentative="1">
      <w:start w:val="1"/>
      <w:numFmt w:val="bullet"/>
      <w:lvlText w:val="•"/>
      <w:lvlJc w:val="left"/>
      <w:pPr>
        <w:tabs>
          <w:tab w:val="num" w:pos="6480"/>
        </w:tabs>
        <w:ind w:left="6480" w:hanging="360"/>
      </w:pPr>
      <w:rPr>
        <w:rFonts w:ascii="Arial" w:hAnsi="Arial" w:hint="default"/>
      </w:rPr>
    </w:lvl>
  </w:abstractNum>
  <w:abstractNum w:abstractNumId="7">
    <w:nsid w:val="1F565342"/>
    <w:multiLevelType w:val="hybridMultilevel"/>
    <w:tmpl w:val="92E4D87C"/>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8">
    <w:nsid w:val="29375308"/>
    <w:multiLevelType w:val="multilevel"/>
    <w:tmpl w:val="5F34D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1683258"/>
    <w:multiLevelType w:val="hybridMultilevel"/>
    <w:tmpl w:val="0F5CBCCC"/>
    <w:lvl w:ilvl="0" w:tplc="041D0019">
      <w:start w:val="1"/>
      <w:numFmt w:val="lowerLetter"/>
      <w:lvlText w:val="%1."/>
      <w:lvlJc w:val="left"/>
      <w:pPr>
        <w:ind w:left="1440"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0">
    <w:nsid w:val="44647684"/>
    <w:multiLevelType w:val="hybridMultilevel"/>
    <w:tmpl w:val="E0B2CE1C"/>
    <w:lvl w:ilvl="0" w:tplc="041D0019">
      <w:start w:val="1"/>
      <w:numFmt w:val="lowerLetter"/>
      <w:lvlText w:val="%1."/>
      <w:lvlJc w:val="left"/>
      <w:pPr>
        <w:ind w:left="1004" w:hanging="360"/>
      </w:pPr>
    </w:lvl>
    <w:lvl w:ilvl="1" w:tplc="041D0019">
      <w:start w:val="1"/>
      <w:numFmt w:val="lowerLetter"/>
      <w:lvlText w:val="%2."/>
      <w:lvlJc w:val="left"/>
      <w:pPr>
        <w:ind w:left="64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1">
    <w:nsid w:val="45C2653B"/>
    <w:multiLevelType w:val="hybridMultilevel"/>
    <w:tmpl w:val="C8CAA282"/>
    <w:lvl w:ilvl="0" w:tplc="65D64B24">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645C1E"/>
    <w:multiLevelType w:val="hybridMultilevel"/>
    <w:tmpl w:val="7FE4D8AE"/>
    <w:lvl w:ilvl="0" w:tplc="14B25A6E">
      <w:start w:val="15"/>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1F03758"/>
    <w:multiLevelType w:val="hybridMultilevel"/>
    <w:tmpl w:val="BE544684"/>
    <w:lvl w:ilvl="0" w:tplc="EC2006A2">
      <w:start w:val="1"/>
      <w:numFmt w:val="bullet"/>
      <w:lvlText w:val=""/>
      <w:lvlJc w:val="left"/>
      <w:pPr>
        <w:tabs>
          <w:tab w:val="num" w:pos="1440"/>
        </w:tabs>
        <w:ind w:left="1440" w:hanging="360"/>
      </w:pPr>
      <w:rPr>
        <w:rFonts w:ascii="Wingdings" w:hAnsi="Wingdings" w:hint="default"/>
      </w:rPr>
    </w:lvl>
    <w:lvl w:ilvl="1" w:tplc="040C0019">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6117FD"/>
    <w:multiLevelType w:val="hybridMultilevel"/>
    <w:tmpl w:val="5E3CC0C2"/>
    <w:lvl w:ilvl="0" w:tplc="786A1B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C97361"/>
    <w:multiLevelType w:val="hybridMultilevel"/>
    <w:tmpl w:val="A22CF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6D2AC9"/>
    <w:multiLevelType w:val="hybridMultilevel"/>
    <w:tmpl w:val="B20C272C"/>
    <w:lvl w:ilvl="0" w:tplc="95569EB8">
      <w:start w:val="1"/>
      <w:numFmt w:val="lowerLetter"/>
      <w:lvlText w:val="%1."/>
      <w:lvlJc w:val="left"/>
      <w:pPr>
        <w:tabs>
          <w:tab w:val="num" w:pos="720"/>
        </w:tabs>
        <w:ind w:left="720" w:hanging="360"/>
      </w:pPr>
      <w:rPr>
        <w:rFonts w:hint="default"/>
      </w:rPr>
    </w:lvl>
    <w:lvl w:ilvl="1" w:tplc="4D0C363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7E6718"/>
    <w:multiLevelType w:val="hybridMultilevel"/>
    <w:tmpl w:val="41F245BE"/>
    <w:lvl w:ilvl="0" w:tplc="837A891A">
      <w:start w:val="1"/>
      <w:numFmt w:val="lowerLetter"/>
      <w:lvlText w:val="%1."/>
      <w:lvlJc w:val="left"/>
      <w:pPr>
        <w:tabs>
          <w:tab w:val="num" w:pos="720"/>
        </w:tabs>
        <w:ind w:left="567" w:hanging="283"/>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5BEA70E7"/>
    <w:multiLevelType w:val="hybridMultilevel"/>
    <w:tmpl w:val="C5503492"/>
    <w:lvl w:ilvl="0" w:tplc="0809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5DD32447"/>
    <w:multiLevelType w:val="hybridMultilevel"/>
    <w:tmpl w:val="D4CE9574"/>
    <w:lvl w:ilvl="0" w:tplc="041D0019">
      <w:start w:val="1"/>
      <w:numFmt w:val="lowerLetter"/>
      <w:lvlText w:val="%1."/>
      <w:lvlJc w:val="left"/>
      <w:pPr>
        <w:ind w:left="1004" w:hanging="360"/>
      </w:pPr>
    </w:lvl>
    <w:lvl w:ilvl="1" w:tplc="041D0019">
      <w:start w:val="1"/>
      <w:numFmt w:val="lowerLetter"/>
      <w:lvlText w:val="%2."/>
      <w:lvlJc w:val="left"/>
      <w:pPr>
        <w:ind w:left="64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0">
    <w:nsid w:val="619322A9"/>
    <w:multiLevelType w:val="hybridMultilevel"/>
    <w:tmpl w:val="EE2E0E9C"/>
    <w:lvl w:ilvl="0" w:tplc="E064E6D0">
      <w:start w:val="1"/>
      <w:numFmt w:val="bullet"/>
      <w:lvlText w:val="•"/>
      <w:lvlJc w:val="left"/>
      <w:pPr>
        <w:tabs>
          <w:tab w:val="num" w:pos="720"/>
        </w:tabs>
        <w:ind w:left="720" w:hanging="360"/>
      </w:pPr>
      <w:rPr>
        <w:rFonts w:ascii="Arial" w:hAnsi="Arial" w:hint="default"/>
      </w:rPr>
    </w:lvl>
    <w:lvl w:ilvl="1" w:tplc="7AC8EAD8" w:tentative="1">
      <w:start w:val="1"/>
      <w:numFmt w:val="bullet"/>
      <w:lvlText w:val="•"/>
      <w:lvlJc w:val="left"/>
      <w:pPr>
        <w:tabs>
          <w:tab w:val="num" w:pos="1440"/>
        </w:tabs>
        <w:ind w:left="1440" w:hanging="360"/>
      </w:pPr>
      <w:rPr>
        <w:rFonts w:ascii="Arial" w:hAnsi="Arial" w:hint="default"/>
      </w:rPr>
    </w:lvl>
    <w:lvl w:ilvl="2" w:tplc="DDC2159A" w:tentative="1">
      <w:start w:val="1"/>
      <w:numFmt w:val="bullet"/>
      <w:lvlText w:val="•"/>
      <w:lvlJc w:val="left"/>
      <w:pPr>
        <w:tabs>
          <w:tab w:val="num" w:pos="2160"/>
        </w:tabs>
        <w:ind w:left="2160" w:hanging="360"/>
      </w:pPr>
      <w:rPr>
        <w:rFonts w:ascii="Arial" w:hAnsi="Arial" w:hint="default"/>
      </w:rPr>
    </w:lvl>
    <w:lvl w:ilvl="3" w:tplc="37A66194" w:tentative="1">
      <w:start w:val="1"/>
      <w:numFmt w:val="bullet"/>
      <w:lvlText w:val="•"/>
      <w:lvlJc w:val="left"/>
      <w:pPr>
        <w:tabs>
          <w:tab w:val="num" w:pos="2880"/>
        </w:tabs>
        <w:ind w:left="2880" w:hanging="360"/>
      </w:pPr>
      <w:rPr>
        <w:rFonts w:ascii="Arial" w:hAnsi="Arial" w:hint="default"/>
      </w:rPr>
    </w:lvl>
    <w:lvl w:ilvl="4" w:tplc="D4AA0CC0" w:tentative="1">
      <w:start w:val="1"/>
      <w:numFmt w:val="bullet"/>
      <w:lvlText w:val="•"/>
      <w:lvlJc w:val="left"/>
      <w:pPr>
        <w:tabs>
          <w:tab w:val="num" w:pos="3600"/>
        </w:tabs>
        <w:ind w:left="3600" w:hanging="360"/>
      </w:pPr>
      <w:rPr>
        <w:rFonts w:ascii="Arial" w:hAnsi="Arial" w:hint="default"/>
      </w:rPr>
    </w:lvl>
    <w:lvl w:ilvl="5" w:tplc="6C1E5CF4" w:tentative="1">
      <w:start w:val="1"/>
      <w:numFmt w:val="bullet"/>
      <w:lvlText w:val="•"/>
      <w:lvlJc w:val="left"/>
      <w:pPr>
        <w:tabs>
          <w:tab w:val="num" w:pos="4320"/>
        </w:tabs>
        <w:ind w:left="4320" w:hanging="360"/>
      </w:pPr>
      <w:rPr>
        <w:rFonts w:ascii="Arial" w:hAnsi="Arial" w:hint="default"/>
      </w:rPr>
    </w:lvl>
    <w:lvl w:ilvl="6" w:tplc="68A28F88" w:tentative="1">
      <w:start w:val="1"/>
      <w:numFmt w:val="bullet"/>
      <w:lvlText w:val="•"/>
      <w:lvlJc w:val="left"/>
      <w:pPr>
        <w:tabs>
          <w:tab w:val="num" w:pos="5040"/>
        </w:tabs>
        <w:ind w:left="5040" w:hanging="360"/>
      </w:pPr>
      <w:rPr>
        <w:rFonts w:ascii="Arial" w:hAnsi="Arial" w:hint="default"/>
      </w:rPr>
    </w:lvl>
    <w:lvl w:ilvl="7" w:tplc="FF10C646" w:tentative="1">
      <w:start w:val="1"/>
      <w:numFmt w:val="bullet"/>
      <w:lvlText w:val="•"/>
      <w:lvlJc w:val="left"/>
      <w:pPr>
        <w:tabs>
          <w:tab w:val="num" w:pos="5760"/>
        </w:tabs>
        <w:ind w:left="5760" w:hanging="360"/>
      </w:pPr>
      <w:rPr>
        <w:rFonts w:ascii="Arial" w:hAnsi="Arial" w:hint="default"/>
      </w:rPr>
    </w:lvl>
    <w:lvl w:ilvl="8" w:tplc="2376E664" w:tentative="1">
      <w:start w:val="1"/>
      <w:numFmt w:val="bullet"/>
      <w:lvlText w:val="•"/>
      <w:lvlJc w:val="left"/>
      <w:pPr>
        <w:tabs>
          <w:tab w:val="num" w:pos="6480"/>
        </w:tabs>
        <w:ind w:left="6480" w:hanging="360"/>
      </w:pPr>
      <w:rPr>
        <w:rFonts w:ascii="Arial" w:hAnsi="Arial" w:hint="default"/>
      </w:rPr>
    </w:lvl>
  </w:abstractNum>
  <w:abstractNum w:abstractNumId="21">
    <w:nsid w:val="619427F2"/>
    <w:multiLevelType w:val="hybridMultilevel"/>
    <w:tmpl w:val="73A4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482DE8"/>
    <w:multiLevelType w:val="hybridMultilevel"/>
    <w:tmpl w:val="A22CF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1575F0"/>
    <w:multiLevelType w:val="hybridMultilevel"/>
    <w:tmpl w:val="254E9700"/>
    <w:lvl w:ilvl="0" w:tplc="A5BE1194">
      <w:start w:val="1"/>
      <w:numFmt w:val="decimal"/>
      <w:lvlText w:val="%1."/>
      <w:lvlJc w:val="left"/>
      <w:pPr>
        <w:tabs>
          <w:tab w:val="num" w:pos="720"/>
        </w:tabs>
        <w:ind w:left="720" w:hanging="360"/>
      </w:pPr>
      <w:rPr>
        <w:rFonts w:hint="default"/>
      </w:rPr>
    </w:lvl>
    <w:lvl w:ilvl="1" w:tplc="881AB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813AF4"/>
    <w:multiLevelType w:val="hybridMultilevel"/>
    <w:tmpl w:val="B20037B2"/>
    <w:lvl w:ilvl="0" w:tplc="F7645AE4">
      <w:start w:val="1"/>
      <w:numFmt w:val="bullet"/>
      <w:lvlText w:val="•"/>
      <w:lvlJc w:val="left"/>
      <w:pPr>
        <w:tabs>
          <w:tab w:val="num" w:pos="720"/>
        </w:tabs>
        <w:ind w:left="720" w:hanging="360"/>
      </w:pPr>
      <w:rPr>
        <w:rFonts w:ascii="Arial" w:hAnsi="Arial" w:hint="default"/>
      </w:rPr>
    </w:lvl>
    <w:lvl w:ilvl="1" w:tplc="4D4CAFD6" w:tentative="1">
      <w:start w:val="1"/>
      <w:numFmt w:val="bullet"/>
      <w:lvlText w:val="•"/>
      <w:lvlJc w:val="left"/>
      <w:pPr>
        <w:tabs>
          <w:tab w:val="num" w:pos="1440"/>
        </w:tabs>
        <w:ind w:left="1440" w:hanging="360"/>
      </w:pPr>
      <w:rPr>
        <w:rFonts w:ascii="Arial" w:hAnsi="Arial" w:hint="default"/>
      </w:rPr>
    </w:lvl>
    <w:lvl w:ilvl="2" w:tplc="517EAFB2" w:tentative="1">
      <w:start w:val="1"/>
      <w:numFmt w:val="bullet"/>
      <w:lvlText w:val="•"/>
      <w:lvlJc w:val="left"/>
      <w:pPr>
        <w:tabs>
          <w:tab w:val="num" w:pos="2160"/>
        </w:tabs>
        <w:ind w:left="2160" w:hanging="360"/>
      </w:pPr>
      <w:rPr>
        <w:rFonts w:ascii="Arial" w:hAnsi="Arial" w:hint="default"/>
      </w:rPr>
    </w:lvl>
    <w:lvl w:ilvl="3" w:tplc="D27C72DE" w:tentative="1">
      <w:start w:val="1"/>
      <w:numFmt w:val="bullet"/>
      <w:lvlText w:val="•"/>
      <w:lvlJc w:val="left"/>
      <w:pPr>
        <w:tabs>
          <w:tab w:val="num" w:pos="2880"/>
        </w:tabs>
        <w:ind w:left="2880" w:hanging="360"/>
      </w:pPr>
      <w:rPr>
        <w:rFonts w:ascii="Arial" w:hAnsi="Arial" w:hint="default"/>
      </w:rPr>
    </w:lvl>
    <w:lvl w:ilvl="4" w:tplc="4F8C20FE" w:tentative="1">
      <w:start w:val="1"/>
      <w:numFmt w:val="bullet"/>
      <w:lvlText w:val="•"/>
      <w:lvlJc w:val="left"/>
      <w:pPr>
        <w:tabs>
          <w:tab w:val="num" w:pos="3600"/>
        </w:tabs>
        <w:ind w:left="3600" w:hanging="360"/>
      </w:pPr>
      <w:rPr>
        <w:rFonts w:ascii="Arial" w:hAnsi="Arial" w:hint="default"/>
      </w:rPr>
    </w:lvl>
    <w:lvl w:ilvl="5" w:tplc="1702FDEC" w:tentative="1">
      <w:start w:val="1"/>
      <w:numFmt w:val="bullet"/>
      <w:lvlText w:val="•"/>
      <w:lvlJc w:val="left"/>
      <w:pPr>
        <w:tabs>
          <w:tab w:val="num" w:pos="4320"/>
        </w:tabs>
        <w:ind w:left="4320" w:hanging="360"/>
      </w:pPr>
      <w:rPr>
        <w:rFonts w:ascii="Arial" w:hAnsi="Arial" w:hint="default"/>
      </w:rPr>
    </w:lvl>
    <w:lvl w:ilvl="6" w:tplc="CEEA9062" w:tentative="1">
      <w:start w:val="1"/>
      <w:numFmt w:val="bullet"/>
      <w:lvlText w:val="•"/>
      <w:lvlJc w:val="left"/>
      <w:pPr>
        <w:tabs>
          <w:tab w:val="num" w:pos="5040"/>
        </w:tabs>
        <w:ind w:left="5040" w:hanging="360"/>
      </w:pPr>
      <w:rPr>
        <w:rFonts w:ascii="Arial" w:hAnsi="Arial" w:hint="default"/>
      </w:rPr>
    </w:lvl>
    <w:lvl w:ilvl="7" w:tplc="7F985166" w:tentative="1">
      <w:start w:val="1"/>
      <w:numFmt w:val="bullet"/>
      <w:lvlText w:val="•"/>
      <w:lvlJc w:val="left"/>
      <w:pPr>
        <w:tabs>
          <w:tab w:val="num" w:pos="5760"/>
        </w:tabs>
        <w:ind w:left="5760" w:hanging="360"/>
      </w:pPr>
      <w:rPr>
        <w:rFonts w:ascii="Arial" w:hAnsi="Arial" w:hint="default"/>
      </w:rPr>
    </w:lvl>
    <w:lvl w:ilvl="8" w:tplc="0C627646" w:tentative="1">
      <w:start w:val="1"/>
      <w:numFmt w:val="bullet"/>
      <w:lvlText w:val="•"/>
      <w:lvlJc w:val="left"/>
      <w:pPr>
        <w:tabs>
          <w:tab w:val="num" w:pos="6480"/>
        </w:tabs>
        <w:ind w:left="6480" w:hanging="360"/>
      </w:pPr>
      <w:rPr>
        <w:rFonts w:ascii="Arial" w:hAnsi="Arial" w:hint="default"/>
      </w:rPr>
    </w:lvl>
  </w:abstractNum>
  <w:abstractNum w:abstractNumId="25">
    <w:nsid w:val="69BE6736"/>
    <w:multiLevelType w:val="hybridMultilevel"/>
    <w:tmpl w:val="943668A0"/>
    <w:lvl w:ilvl="0" w:tplc="2708C11E">
      <w:start w:val="1"/>
      <w:numFmt w:val="bullet"/>
      <w:lvlText w:val="•"/>
      <w:lvlJc w:val="left"/>
      <w:pPr>
        <w:tabs>
          <w:tab w:val="num" w:pos="720"/>
        </w:tabs>
        <w:ind w:left="720" w:hanging="360"/>
      </w:pPr>
      <w:rPr>
        <w:rFonts w:ascii="Arial" w:hAnsi="Arial" w:hint="default"/>
      </w:rPr>
    </w:lvl>
    <w:lvl w:ilvl="1" w:tplc="0E3C5268">
      <w:start w:val="2322"/>
      <w:numFmt w:val="bullet"/>
      <w:lvlText w:val="–"/>
      <w:lvlJc w:val="left"/>
      <w:pPr>
        <w:tabs>
          <w:tab w:val="num" w:pos="1440"/>
        </w:tabs>
        <w:ind w:left="1440" w:hanging="360"/>
      </w:pPr>
      <w:rPr>
        <w:rFonts w:ascii="Arial" w:hAnsi="Arial" w:hint="default"/>
      </w:rPr>
    </w:lvl>
    <w:lvl w:ilvl="2" w:tplc="B276D104" w:tentative="1">
      <w:start w:val="1"/>
      <w:numFmt w:val="bullet"/>
      <w:lvlText w:val="•"/>
      <w:lvlJc w:val="left"/>
      <w:pPr>
        <w:tabs>
          <w:tab w:val="num" w:pos="2160"/>
        </w:tabs>
        <w:ind w:left="2160" w:hanging="360"/>
      </w:pPr>
      <w:rPr>
        <w:rFonts w:ascii="Arial" w:hAnsi="Arial" w:hint="default"/>
      </w:rPr>
    </w:lvl>
    <w:lvl w:ilvl="3" w:tplc="3452923E" w:tentative="1">
      <w:start w:val="1"/>
      <w:numFmt w:val="bullet"/>
      <w:lvlText w:val="•"/>
      <w:lvlJc w:val="left"/>
      <w:pPr>
        <w:tabs>
          <w:tab w:val="num" w:pos="2880"/>
        </w:tabs>
        <w:ind w:left="2880" w:hanging="360"/>
      </w:pPr>
      <w:rPr>
        <w:rFonts w:ascii="Arial" w:hAnsi="Arial" w:hint="default"/>
      </w:rPr>
    </w:lvl>
    <w:lvl w:ilvl="4" w:tplc="D27EE1AC" w:tentative="1">
      <w:start w:val="1"/>
      <w:numFmt w:val="bullet"/>
      <w:lvlText w:val="•"/>
      <w:lvlJc w:val="left"/>
      <w:pPr>
        <w:tabs>
          <w:tab w:val="num" w:pos="3600"/>
        </w:tabs>
        <w:ind w:left="3600" w:hanging="360"/>
      </w:pPr>
      <w:rPr>
        <w:rFonts w:ascii="Arial" w:hAnsi="Arial" w:hint="default"/>
      </w:rPr>
    </w:lvl>
    <w:lvl w:ilvl="5" w:tplc="011625E6" w:tentative="1">
      <w:start w:val="1"/>
      <w:numFmt w:val="bullet"/>
      <w:lvlText w:val="•"/>
      <w:lvlJc w:val="left"/>
      <w:pPr>
        <w:tabs>
          <w:tab w:val="num" w:pos="4320"/>
        </w:tabs>
        <w:ind w:left="4320" w:hanging="360"/>
      </w:pPr>
      <w:rPr>
        <w:rFonts w:ascii="Arial" w:hAnsi="Arial" w:hint="default"/>
      </w:rPr>
    </w:lvl>
    <w:lvl w:ilvl="6" w:tplc="71F64A26" w:tentative="1">
      <w:start w:val="1"/>
      <w:numFmt w:val="bullet"/>
      <w:lvlText w:val="•"/>
      <w:lvlJc w:val="left"/>
      <w:pPr>
        <w:tabs>
          <w:tab w:val="num" w:pos="5040"/>
        </w:tabs>
        <w:ind w:left="5040" w:hanging="360"/>
      </w:pPr>
      <w:rPr>
        <w:rFonts w:ascii="Arial" w:hAnsi="Arial" w:hint="default"/>
      </w:rPr>
    </w:lvl>
    <w:lvl w:ilvl="7" w:tplc="F4A4BCA0" w:tentative="1">
      <w:start w:val="1"/>
      <w:numFmt w:val="bullet"/>
      <w:lvlText w:val="•"/>
      <w:lvlJc w:val="left"/>
      <w:pPr>
        <w:tabs>
          <w:tab w:val="num" w:pos="5760"/>
        </w:tabs>
        <w:ind w:left="5760" w:hanging="360"/>
      </w:pPr>
      <w:rPr>
        <w:rFonts w:ascii="Arial" w:hAnsi="Arial" w:hint="default"/>
      </w:rPr>
    </w:lvl>
    <w:lvl w:ilvl="8" w:tplc="CA48BC5C" w:tentative="1">
      <w:start w:val="1"/>
      <w:numFmt w:val="bullet"/>
      <w:lvlText w:val="•"/>
      <w:lvlJc w:val="left"/>
      <w:pPr>
        <w:tabs>
          <w:tab w:val="num" w:pos="6480"/>
        </w:tabs>
        <w:ind w:left="6480" w:hanging="360"/>
      </w:pPr>
      <w:rPr>
        <w:rFonts w:ascii="Arial" w:hAnsi="Arial" w:hint="default"/>
      </w:rPr>
    </w:lvl>
  </w:abstractNum>
  <w:abstractNum w:abstractNumId="26">
    <w:nsid w:val="6B5E3C0D"/>
    <w:multiLevelType w:val="hybridMultilevel"/>
    <w:tmpl w:val="CB94A9C8"/>
    <w:lvl w:ilvl="0" w:tplc="0813000F">
      <w:start w:val="1"/>
      <w:numFmt w:val="decimal"/>
      <w:lvlText w:val="%1."/>
      <w:lvlJc w:val="left"/>
      <w:pPr>
        <w:ind w:left="360" w:hanging="360"/>
      </w:pPr>
    </w:lvl>
    <w:lvl w:ilvl="1" w:tplc="176840B0">
      <w:start w:val="1"/>
      <w:numFmt w:val="lowerLetter"/>
      <w:lvlText w:val="%2."/>
      <w:lvlJc w:val="left"/>
      <w:pPr>
        <w:ind w:left="644"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6D0E6E3A"/>
    <w:multiLevelType w:val="hybridMultilevel"/>
    <w:tmpl w:val="F1B4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0B1941"/>
    <w:multiLevelType w:val="hybridMultilevel"/>
    <w:tmpl w:val="F3103BDC"/>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737E9A"/>
    <w:multiLevelType w:val="hybridMultilevel"/>
    <w:tmpl w:val="2E2EEAC8"/>
    <w:lvl w:ilvl="0" w:tplc="65D64B24">
      <w:start w:val="3"/>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127129"/>
    <w:multiLevelType w:val="hybridMultilevel"/>
    <w:tmpl w:val="05DAB8A2"/>
    <w:lvl w:ilvl="0" w:tplc="D7D8258C">
      <w:start w:val="1"/>
      <w:numFmt w:val="decimal"/>
      <w:lvlText w:val="%1."/>
      <w:lvlJc w:val="left"/>
      <w:pPr>
        <w:ind w:left="360" w:hanging="360"/>
      </w:pPr>
      <w:rPr>
        <w:rFonts w:hint="default"/>
      </w:rPr>
    </w:lvl>
    <w:lvl w:ilvl="1" w:tplc="08090019">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73D2782"/>
    <w:multiLevelType w:val="hybridMultilevel"/>
    <w:tmpl w:val="C86ECF08"/>
    <w:lvl w:ilvl="0" w:tplc="041D0017">
      <w:start w:val="1"/>
      <w:numFmt w:val="lowerLetter"/>
      <w:lvlText w:val="%1)"/>
      <w:lvlJc w:val="left"/>
      <w:pPr>
        <w:ind w:left="720" w:hanging="360"/>
      </w:pPr>
    </w:lvl>
    <w:lvl w:ilvl="1" w:tplc="041D0019">
      <w:start w:val="1"/>
      <w:numFmt w:val="lowerLetter"/>
      <w:lvlText w:val="%2."/>
      <w:lvlJc w:val="left"/>
      <w:pPr>
        <w:ind w:left="644"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775D7382"/>
    <w:multiLevelType w:val="hybridMultilevel"/>
    <w:tmpl w:val="B20C272C"/>
    <w:lvl w:ilvl="0" w:tplc="95569EB8">
      <w:start w:val="1"/>
      <w:numFmt w:val="lowerLetter"/>
      <w:lvlText w:val="%1."/>
      <w:lvlJc w:val="left"/>
      <w:pPr>
        <w:tabs>
          <w:tab w:val="num" w:pos="720"/>
        </w:tabs>
        <w:ind w:left="720" w:hanging="360"/>
      </w:pPr>
      <w:rPr>
        <w:rFonts w:hint="default"/>
      </w:rPr>
    </w:lvl>
    <w:lvl w:ilvl="1" w:tplc="4D0C363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9E05F3"/>
    <w:multiLevelType w:val="hybridMultilevel"/>
    <w:tmpl w:val="D6783888"/>
    <w:lvl w:ilvl="0" w:tplc="25023380">
      <w:start w:val="1"/>
      <w:numFmt w:val="bullet"/>
      <w:lvlText w:val="–"/>
      <w:lvlJc w:val="left"/>
      <w:pPr>
        <w:tabs>
          <w:tab w:val="num" w:pos="720"/>
        </w:tabs>
        <w:ind w:left="720" w:hanging="360"/>
      </w:pPr>
      <w:rPr>
        <w:rFonts w:ascii="Arial" w:hAnsi="Arial" w:hint="default"/>
      </w:rPr>
    </w:lvl>
    <w:lvl w:ilvl="1" w:tplc="16EA63EC">
      <w:start w:val="1"/>
      <w:numFmt w:val="bullet"/>
      <w:lvlText w:val="–"/>
      <w:lvlJc w:val="left"/>
      <w:pPr>
        <w:tabs>
          <w:tab w:val="num" w:pos="1440"/>
        </w:tabs>
        <w:ind w:left="1440" w:hanging="360"/>
      </w:pPr>
      <w:rPr>
        <w:rFonts w:ascii="Arial" w:hAnsi="Arial" w:hint="default"/>
      </w:rPr>
    </w:lvl>
    <w:lvl w:ilvl="2" w:tplc="C47EB49C" w:tentative="1">
      <w:start w:val="1"/>
      <w:numFmt w:val="bullet"/>
      <w:lvlText w:val="–"/>
      <w:lvlJc w:val="left"/>
      <w:pPr>
        <w:tabs>
          <w:tab w:val="num" w:pos="2160"/>
        </w:tabs>
        <w:ind w:left="2160" w:hanging="360"/>
      </w:pPr>
      <w:rPr>
        <w:rFonts w:ascii="Arial" w:hAnsi="Arial" w:hint="default"/>
      </w:rPr>
    </w:lvl>
    <w:lvl w:ilvl="3" w:tplc="40B0FA3C" w:tentative="1">
      <w:start w:val="1"/>
      <w:numFmt w:val="bullet"/>
      <w:lvlText w:val="–"/>
      <w:lvlJc w:val="left"/>
      <w:pPr>
        <w:tabs>
          <w:tab w:val="num" w:pos="2880"/>
        </w:tabs>
        <w:ind w:left="2880" w:hanging="360"/>
      </w:pPr>
      <w:rPr>
        <w:rFonts w:ascii="Arial" w:hAnsi="Arial" w:hint="default"/>
      </w:rPr>
    </w:lvl>
    <w:lvl w:ilvl="4" w:tplc="5B8C8E94" w:tentative="1">
      <w:start w:val="1"/>
      <w:numFmt w:val="bullet"/>
      <w:lvlText w:val="–"/>
      <w:lvlJc w:val="left"/>
      <w:pPr>
        <w:tabs>
          <w:tab w:val="num" w:pos="3600"/>
        </w:tabs>
        <w:ind w:left="3600" w:hanging="360"/>
      </w:pPr>
      <w:rPr>
        <w:rFonts w:ascii="Arial" w:hAnsi="Arial" w:hint="default"/>
      </w:rPr>
    </w:lvl>
    <w:lvl w:ilvl="5" w:tplc="3402BC4A" w:tentative="1">
      <w:start w:val="1"/>
      <w:numFmt w:val="bullet"/>
      <w:lvlText w:val="–"/>
      <w:lvlJc w:val="left"/>
      <w:pPr>
        <w:tabs>
          <w:tab w:val="num" w:pos="4320"/>
        </w:tabs>
        <w:ind w:left="4320" w:hanging="360"/>
      </w:pPr>
      <w:rPr>
        <w:rFonts w:ascii="Arial" w:hAnsi="Arial" w:hint="default"/>
      </w:rPr>
    </w:lvl>
    <w:lvl w:ilvl="6" w:tplc="E27C5BCC" w:tentative="1">
      <w:start w:val="1"/>
      <w:numFmt w:val="bullet"/>
      <w:lvlText w:val="–"/>
      <w:lvlJc w:val="left"/>
      <w:pPr>
        <w:tabs>
          <w:tab w:val="num" w:pos="5040"/>
        </w:tabs>
        <w:ind w:left="5040" w:hanging="360"/>
      </w:pPr>
      <w:rPr>
        <w:rFonts w:ascii="Arial" w:hAnsi="Arial" w:hint="default"/>
      </w:rPr>
    </w:lvl>
    <w:lvl w:ilvl="7" w:tplc="0972CD48" w:tentative="1">
      <w:start w:val="1"/>
      <w:numFmt w:val="bullet"/>
      <w:lvlText w:val="–"/>
      <w:lvlJc w:val="left"/>
      <w:pPr>
        <w:tabs>
          <w:tab w:val="num" w:pos="5760"/>
        </w:tabs>
        <w:ind w:left="5760" w:hanging="360"/>
      </w:pPr>
      <w:rPr>
        <w:rFonts w:ascii="Arial" w:hAnsi="Arial" w:hint="default"/>
      </w:rPr>
    </w:lvl>
    <w:lvl w:ilvl="8" w:tplc="F3B0387E" w:tentative="1">
      <w:start w:val="1"/>
      <w:numFmt w:val="bullet"/>
      <w:lvlText w:val="–"/>
      <w:lvlJc w:val="left"/>
      <w:pPr>
        <w:tabs>
          <w:tab w:val="num" w:pos="6480"/>
        </w:tabs>
        <w:ind w:left="6480" w:hanging="360"/>
      </w:pPr>
      <w:rPr>
        <w:rFonts w:ascii="Arial" w:hAnsi="Arial" w:hint="default"/>
      </w:rPr>
    </w:lvl>
  </w:abstractNum>
  <w:abstractNum w:abstractNumId="34">
    <w:nsid w:val="7D1E2E5C"/>
    <w:multiLevelType w:val="hybridMultilevel"/>
    <w:tmpl w:val="6778CBF0"/>
    <w:lvl w:ilvl="0" w:tplc="EC2006A2">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724B81"/>
    <w:multiLevelType w:val="hybridMultilevel"/>
    <w:tmpl w:val="CCE60BFA"/>
    <w:lvl w:ilvl="0" w:tplc="F09E5DC6">
      <w:start w:val="1"/>
      <w:numFmt w:val="bullet"/>
      <w:lvlText w:val="–"/>
      <w:lvlJc w:val="left"/>
      <w:pPr>
        <w:tabs>
          <w:tab w:val="num" w:pos="720"/>
        </w:tabs>
        <w:ind w:left="720" w:hanging="360"/>
      </w:pPr>
      <w:rPr>
        <w:rFonts w:ascii="Arial" w:hAnsi="Arial" w:hint="default"/>
      </w:rPr>
    </w:lvl>
    <w:lvl w:ilvl="1" w:tplc="0C162C1E">
      <w:start w:val="1"/>
      <w:numFmt w:val="bullet"/>
      <w:lvlText w:val="–"/>
      <w:lvlJc w:val="left"/>
      <w:pPr>
        <w:tabs>
          <w:tab w:val="num" w:pos="1440"/>
        </w:tabs>
        <w:ind w:left="1440" w:hanging="360"/>
      </w:pPr>
      <w:rPr>
        <w:rFonts w:ascii="Arial" w:hAnsi="Arial" w:hint="default"/>
      </w:rPr>
    </w:lvl>
    <w:lvl w:ilvl="2" w:tplc="DC8EDC34" w:tentative="1">
      <w:start w:val="1"/>
      <w:numFmt w:val="bullet"/>
      <w:lvlText w:val="–"/>
      <w:lvlJc w:val="left"/>
      <w:pPr>
        <w:tabs>
          <w:tab w:val="num" w:pos="2160"/>
        </w:tabs>
        <w:ind w:left="2160" w:hanging="360"/>
      </w:pPr>
      <w:rPr>
        <w:rFonts w:ascii="Arial" w:hAnsi="Arial" w:hint="default"/>
      </w:rPr>
    </w:lvl>
    <w:lvl w:ilvl="3" w:tplc="425C53E6" w:tentative="1">
      <w:start w:val="1"/>
      <w:numFmt w:val="bullet"/>
      <w:lvlText w:val="–"/>
      <w:lvlJc w:val="left"/>
      <w:pPr>
        <w:tabs>
          <w:tab w:val="num" w:pos="2880"/>
        </w:tabs>
        <w:ind w:left="2880" w:hanging="360"/>
      </w:pPr>
      <w:rPr>
        <w:rFonts w:ascii="Arial" w:hAnsi="Arial" w:hint="default"/>
      </w:rPr>
    </w:lvl>
    <w:lvl w:ilvl="4" w:tplc="181C490E" w:tentative="1">
      <w:start w:val="1"/>
      <w:numFmt w:val="bullet"/>
      <w:lvlText w:val="–"/>
      <w:lvlJc w:val="left"/>
      <w:pPr>
        <w:tabs>
          <w:tab w:val="num" w:pos="3600"/>
        </w:tabs>
        <w:ind w:left="3600" w:hanging="360"/>
      </w:pPr>
      <w:rPr>
        <w:rFonts w:ascii="Arial" w:hAnsi="Arial" w:hint="default"/>
      </w:rPr>
    </w:lvl>
    <w:lvl w:ilvl="5" w:tplc="139E167A" w:tentative="1">
      <w:start w:val="1"/>
      <w:numFmt w:val="bullet"/>
      <w:lvlText w:val="–"/>
      <w:lvlJc w:val="left"/>
      <w:pPr>
        <w:tabs>
          <w:tab w:val="num" w:pos="4320"/>
        </w:tabs>
        <w:ind w:left="4320" w:hanging="360"/>
      </w:pPr>
      <w:rPr>
        <w:rFonts w:ascii="Arial" w:hAnsi="Arial" w:hint="default"/>
      </w:rPr>
    </w:lvl>
    <w:lvl w:ilvl="6" w:tplc="B006777E" w:tentative="1">
      <w:start w:val="1"/>
      <w:numFmt w:val="bullet"/>
      <w:lvlText w:val="–"/>
      <w:lvlJc w:val="left"/>
      <w:pPr>
        <w:tabs>
          <w:tab w:val="num" w:pos="5040"/>
        </w:tabs>
        <w:ind w:left="5040" w:hanging="360"/>
      </w:pPr>
      <w:rPr>
        <w:rFonts w:ascii="Arial" w:hAnsi="Arial" w:hint="default"/>
      </w:rPr>
    </w:lvl>
    <w:lvl w:ilvl="7" w:tplc="9626C700" w:tentative="1">
      <w:start w:val="1"/>
      <w:numFmt w:val="bullet"/>
      <w:lvlText w:val="–"/>
      <w:lvlJc w:val="left"/>
      <w:pPr>
        <w:tabs>
          <w:tab w:val="num" w:pos="5760"/>
        </w:tabs>
        <w:ind w:left="5760" w:hanging="360"/>
      </w:pPr>
      <w:rPr>
        <w:rFonts w:ascii="Arial" w:hAnsi="Arial" w:hint="default"/>
      </w:rPr>
    </w:lvl>
    <w:lvl w:ilvl="8" w:tplc="F4C82670" w:tentative="1">
      <w:start w:val="1"/>
      <w:numFmt w:val="bullet"/>
      <w:lvlText w:val="–"/>
      <w:lvlJc w:val="left"/>
      <w:pPr>
        <w:tabs>
          <w:tab w:val="num" w:pos="6480"/>
        </w:tabs>
        <w:ind w:left="6480" w:hanging="360"/>
      </w:pPr>
      <w:rPr>
        <w:rFonts w:ascii="Arial" w:hAnsi="Arial" w:hint="default"/>
      </w:rPr>
    </w:lvl>
  </w:abstractNum>
  <w:abstractNum w:abstractNumId="36">
    <w:nsid w:val="7DB26E06"/>
    <w:multiLevelType w:val="hybridMultilevel"/>
    <w:tmpl w:val="53CE7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4"/>
  </w:num>
  <w:num w:numId="2">
    <w:abstractNumId w:val="16"/>
  </w:num>
  <w:num w:numId="3">
    <w:abstractNumId w:val="23"/>
  </w:num>
  <w:num w:numId="4">
    <w:abstractNumId w:val="15"/>
  </w:num>
  <w:num w:numId="5">
    <w:abstractNumId w:val="28"/>
  </w:num>
  <w:num w:numId="6">
    <w:abstractNumId w:val="5"/>
  </w:num>
  <w:num w:numId="7">
    <w:abstractNumId w:val="26"/>
  </w:num>
  <w:num w:numId="8">
    <w:abstractNumId w:val="19"/>
  </w:num>
  <w:num w:numId="9">
    <w:abstractNumId w:val="31"/>
  </w:num>
  <w:num w:numId="10">
    <w:abstractNumId w:val="10"/>
  </w:num>
  <w:num w:numId="11">
    <w:abstractNumId w:val="18"/>
  </w:num>
  <w:num w:numId="12">
    <w:abstractNumId w:val="33"/>
  </w:num>
  <w:num w:numId="13">
    <w:abstractNumId w:val="35"/>
  </w:num>
  <w:num w:numId="14">
    <w:abstractNumId w:val="30"/>
  </w:num>
  <w:num w:numId="15">
    <w:abstractNumId w:val="14"/>
  </w:num>
  <w:num w:numId="16">
    <w:abstractNumId w:val="36"/>
  </w:num>
  <w:num w:numId="17">
    <w:abstractNumId w:val="21"/>
  </w:num>
  <w:num w:numId="18">
    <w:abstractNumId w:val="24"/>
  </w:num>
  <w:num w:numId="19">
    <w:abstractNumId w:val="2"/>
  </w:num>
  <w:num w:numId="20">
    <w:abstractNumId w:val="20"/>
  </w:num>
  <w:num w:numId="21">
    <w:abstractNumId w:val="9"/>
  </w:num>
  <w:num w:numId="22">
    <w:abstractNumId w:val="32"/>
  </w:num>
  <w:num w:numId="23">
    <w:abstractNumId w:val="3"/>
  </w:num>
  <w:num w:numId="24">
    <w:abstractNumId w:val="22"/>
  </w:num>
  <w:num w:numId="25">
    <w:abstractNumId w:val="29"/>
  </w:num>
  <w:num w:numId="26">
    <w:abstractNumId w:val="4"/>
  </w:num>
  <w:num w:numId="27">
    <w:abstractNumId w:val="11"/>
  </w:num>
  <w:num w:numId="28">
    <w:abstractNumId w:val="27"/>
  </w:num>
  <w:num w:numId="29">
    <w:abstractNumId w:val="25"/>
  </w:num>
  <w:num w:numId="30">
    <w:abstractNumId w:val="6"/>
  </w:num>
  <w:num w:numId="31">
    <w:abstractNumId w:val="17"/>
  </w:num>
  <w:num w:numId="32">
    <w:abstractNumId w:val="13"/>
  </w:num>
  <w:num w:numId="33">
    <w:abstractNumId w:val="12"/>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25"/>
    <w:rsid w:val="000403F5"/>
    <w:rsid w:val="000B6027"/>
    <w:rsid w:val="001040B5"/>
    <w:rsid w:val="001E5FA4"/>
    <w:rsid w:val="002056FE"/>
    <w:rsid w:val="00214D29"/>
    <w:rsid w:val="00286C1B"/>
    <w:rsid w:val="002F06F1"/>
    <w:rsid w:val="0033511A"/>
    <w:rsid w:val="00340E25"/>
    <w:rsid w:val="003631D9"/>
    <w:rsid w:val="003E79A0"/>
    <w:rsid w:val="00402D69"/>
    <w:rsid w:val="00415379"/>
    <w:rsid w:val="0041664D"/>
    <w:rsid w:val="00437447"/>
    <w:rsid w:val="004450F1"/>
    <w:rsid w:val="00480CBB"/>
    <w:rsid w:val="004B62F6"/>
    <w:rsid w:val="004E2149"/>
    <w:rsid w:val="004E56FE"/>
    <w:rsid w:val="004F5B2A"/>
    <w:rsid w:val="005416B6"/>
    <w:rsid w:val="00542880"/>
    <w:rsid w:val="00554A85"/>
    <w:rsid w:val="00581FEE"/>
    <w:rsid w:val="005E6349"/>
    <w:rsid w:val="00650FD6"/>
    <w:rsid w:val="006D4735"/>
    <w:rsid w:val="00757B8B"/>
    <w:rsid w:val="007B63F0"/>
    <w:rsid w:val="007F56CE"/>
    <w:rsid w:val="008012C3"/>
    <w:rsid w:val="008D05FE"/>
    <w:rsid w:val="00932026"/>
    <w:rsid w:val="0095343B"/>
    <w:rsid w:val="009C1142"/>
    <w:rsid w:val="009D3D52"/>
    <w:rsid w:val="00A454EA"/>
    <w:rsid w:val="00A73CC1"/>
    <w:rsid w:val="00A768F1"/>
    <w:rsid w:val="00AE205D"/>
    <w:rsid w:val="00B11EEA"/>
    <w:rsid w:val="00B645CC"/>
    <w:rsid w:val="00B95706"/>
    <w:rsid w:val="00BE5FE9"/>
    <w:rsid w:val="00C84211"/>
    <w:rsid w:val="00CC2584"/>
    <w:rsid w:val="00D21DB6"/>
    <w:rsid w:val="00D7116E"/>
    <w:rsid w:val="00D750C3"/>
    <w:rsid w:val="00D95BE7"/>
    <w:rsid w:val="00DA01F6"/>
    <w:rsid w:val="00DF13DA"/>
    <w:rsid w:val="00E30D6C"/>
    <w:rsid w:val="00ED3256"/>
    <w:rsid w:val="00F276C4"/>
    <w:rsid w:val="00FC532D"/>
    <w:rsid w:val="00FD729F"/>
    <w:rsid w:val="00FE40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AD9B"/>
  <w15:docId w15:val="{55260D5B-6F42-4351-9FB3-9342E38D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E25"/>
    <w:pPr>
      <w:jc w:val="both"/>
    </w:pPr>
    <w:rPr>
      <w:rFonts w:eastAsiaTheme="minorEastAsia"/>
      <w:sz w:val="20"/>
      <w:szCs w:val="20"/>
      <w:lang w:val="en-US"/>
    </w:rPr>
  </w:style>
  <w:style w:type="paragraph" w:styleId="Titre1">
    <w:name w:val="heading 1"/>
    <w:basedOn w:val="Normal"/>
    <w:next w:val="Normal"/>
    <w:link w:val="Titre1Car"/>
    <w:uiPriority w:val="9"/>
    <w:qFormat/>
    <w:rsid w:val="00340E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unhideWhenUsed/>
    <w:qFormat/>
    <w:rsid w:val="00340E25"/>
    <w:pPr>
      <w:spacing w:before="440" w:after="240"/>
      <w:jc w:val="left"/>
      <w:outlineLvl w:val="1"/>
    </w:pPr>
    <w:rPr>
      <w:rFonts w:ascii="Arial" w:hAnsi="Arial"/>
      <w:caps/>
      <w:color w:val="FF0000"/>
      <w:spacing w:val="5"/>
      <w:sz w:val="32"/>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40E25"/>
    <w:rPr>
      <w:rFonts w:ascii="Arial" w:eastAsiaTheme="majorEastAsia" w:hAnsi="Arial" w:cstheme="majorBidi"/>
      <w:b/>
      <w:bCs/>
      <w:caps/>
      <w:color w:val="FF0000"/>
      <w:spacing w:val="5"/>
      <w:sz w:val="32"/>
      <w:szCs w:val="26"/>
      <w:lang w:val="en-US"/>
    </w:rPr>
  </w:style>
  <w:style w:type="paragraph" w:styleId="Sansinterligne">
    <w:name w:val="No Spacing"/>
    <w:uiPriority w:val="1"/>
    <w:qFormat/>
    <w:rsid w:val="00340E25"/>
    <w:pPr>
      <w:spacing w:after="0" w:line="240" w:lineRule="auto"/>
      <w:jc w:val="both"/>
    </w:pPr>
    <w:rPr>
      <w:rFonts w:eastAsiaTheme="minorEastAsia"/>
      <w:sz w:val="20"/>
      <w:szCs w:val="20"/>
      <w:lang w:val="en-US"/>
    </w:rPr>
  </w:style>
  <w:style w:type="character" w:customStyle="1" w:styleId="Titre1Car">
    <w:name w:val="Titre 1 Car"/>
    <w:basedOn w:val="Policepardfaut"/>
    <w:link w:val="Titre1"/>
    <w:uiPriority w:val="9"/>
    <w:rsid w:val="00340E25"/>
    <w:rPr>
      <w:rFonts w:asciiTheme="majorHAnsi" w:eastAsiaTheme="majorEastAsia" w:hAnsiTheme="majorHAnsi" w:cstheme="majorBidi"/>
      <w:b/>
      <w:bCs/>
      <w:color w:val="365F91" w:themeColor="accent1" w:themeShade="BF"/>
      <w:sz w:val="28"/>
      <w:szCs w:val="28"/>
      <w:lang w:val="en-US"/>
    </w:rPr>
  </w:style>
  <w:style w:type="paragraph" w:styleId="Pardeliste">
    <w:name w:val="List Paragraph"/>
    <w:basedOn w:val="Normal"/>
    <w:uiPriority w:val="34"/>
    <w:qFormat/>
    <w:rsid w:val="00932026"/>
    <w:pPr>
      <w:ind w:left="720"/>
      <w:contextualSpacing/>
    </w:pPr>
  </w:style>
  <w:style w:type="paragraph" w:styleId="Textedebulles">
    <w:name w:val="Balloon Text"/>
    <w:basedOn w:val="Normal"/>
    <w:link w:val="TextedebullesCar"/>
    <w:uiPriority w:val="99"/>
    <w:semiHidden/>
    <w:unhideWhenUsed/>
    <w:rsid w:val="003631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1D9"/>
    <w:rPr>
      <w:rFonts w:ascii="Tahoma" w:eastAsiaTheme="minorEastAsia" w:hAnsi="Tahoma" w:cs="Tahoma"/>
      <w:sz w:val="16"/>
      <w:szCs w:val="16"/>
      <w:lang w:val="en-US"/>
    </w:rPr>
  </w:style>
  <w:style w:type="character" w:customStyle="1" w:styleId="st1">
    <w:name w:val="st1"/>
    <w:basedOn w:val="Policepardfaut"/>
    <w:rsid w:val="00AE205D"/>
  </w:style>
  <w:style w:type="character" w:styleId="Marquedecommentaire">
    <w:name w:val="annotation reference"/>
    <w:basedOn w:val="Policepardfaut"/>
    <w:uiPriority w:val="99"/>
    <w:semiHidden/>
    <w:unhideWhenUsed/>
    <w:rsid w:val="001E5FA4"/>
    <w:rPr>
      <w:sz w:val="16"/>
      <w:szCs w:val="16"/>
    </w:rPr>
  </w:style>
  <w:style w:type="paragraph" w:styleId="Commentaire">
    <w:name w:val="annotation text"/>
    <w:basedOn w:val="Normal"/>
    <w:link w:val="CommentaireCar"/>
    <w:uiPriority w:val="99"/>
    <w:semiHidden/>
    <w:unhideWhenUsed/>
    <w:rsid w:val="001E5FA4"/>
    <w:pPr>
      <w:spacing w:line="240" w:lineRule="auto"/>
    </w:pPr>
  </w:style>
  <w:style w:type="character" w:customStyle="1" w:styleId="CommentaireCar">
    <w:name w:val="Commentaire Car"/>
    <w:basedOn w:val="Policepardfaut"/>
    <w:link w:val="Commentaire"/>
    <w:uiPriority w:val="99"/>
    <w:semiHidden/>
    <w:rsid w:val="001E5FA4"/>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1E5FA4"/>
    <w:rPr>
      <w:b/>
      <w:bCs/>
    </w:rPr>
  </w:style>
  <w:style w:type="character" w:customStyle="1" w:styleId="ObjetducommentaireCar">
    <w:name w:val="Objet du commentaire Car"/>
    <w:basedOn w:val="CommentaireCar"/>
    <w:link w:val="Objetducommentaire"/>
    <w:uiPriority w:val="99"/>
    <w:semiHidden/>
    <w:rsid w:val="001E5FA4"/>
    <w:rPr>
      <w:rFonts w:eastAsiaTheme="minorEastAsia"/>
      <w:b/>
      <w:bCs/>
      <w:sz w:val="20"/>
      <w:szCs w:val="20"/>
      <w:lang w:val="en-US"/>
    </w:rPr>
  </w:style>
  <w:style w:type="paragraph" w:styleId="En-tte">
    <w:name w:val="header"/>
    <w:basedOn w:val="Normal"/>
    <w:link w:val="En-tteCar"/>
    <w:uiPriority w:val="99"/>
    <w:unhideWhenUsed/>
    <w:rsid w:val="00A73CC1"/>
    <w:pPr>
      <w:tabs>
        <w:tab w:val="center" w:pos="4536"/>
        <w:tab w:val="right" w:pos="9072"/>
      </w:tabs>
      <w:spacing w:after="0" w:line="240" w:lineRule="auto"/>
    </w:pPr>
  </w:style>
  <w:style w:type="character" w:customStyle="1" w:styleId="En-tteCar">
    <w:name w:val="En-tête Car"/>
    <w:basedOn w:val="Policepardfaut"/>
    <w:link w:val="En-tte"/>
    <w:uiPriority w:val="99"/>
    <w:rsid w:val="00A73CC1"/>
    <w:rPr>
      <w:rFonts w:eastAsiaTheme="minorEastAsia"/>
      <w:sz w:val="20"/>
      <w:szCs w:val="20"/>
      <w:lang w:val="en-US"/>
    </w:rPr>
  </w:style>
  <w:style w:type="paragraph" w:styleId="Pieddepage">
    <w:name w:val="footer"/>
    <w:basedOn w:val="Normal"/>
    <w:link w:val="PieddepageCar"/>
    <w:uiPriority w:val="99"/>
    <w:unhideWhenUsed/>
    <w:rsid w:val="00A73C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3CC1"/>
    <w:rPr>
      <w:rFonts w:eastAsiaTheme="minorEastAsia"/>
      <w:sz w:val="20"/>
      <w:szCs w:val="20"/>
      <w:lang w:val="en-US"/>
    </w:rPr>
  </w:style>
  <w:style w:type="character" w:styleId="Numrodepage">
    <w:name w:val="page number"/>
    <w:basedOn w:val="Policepardfaut"/>
    <w:uiPriority w:val="99"/>
    <w:semiHidden/>
    <w:unhideWhenUsed/>
    <w:rsid w:val="002056FE"/>
  </w:style>
  <w:style w:type="paragraph" w:customStyle="1" w:styleId="Concordtitre">
    <w:name w:val="Concord titre"/>
    <w:basedOn w:val="Titre2"/>
    <w:link w:val="ConcordtitreCar"/>
    <w:qFormat/>
    <w:rsid w:val="00542880"/>
    <w:pPr>
      <w:ind w:left="-567" w:right="-1039"/>
    </w:pPr>
    <w:rPr>
      <w:color w:val="C00000"/>
      <w:lang w:val="en-GB"/>
    </w:rPr>
  </w:style>
  <w:style w:type="character" w:customStyle="1" w:styleId="ConcordtitreCar">
    <w:name w:val="Concord titre Car"/>
    <w:basedOn w:val="Titre2Car"/>
    <w:link w:val="Concordtitre"/>
    <w:rsid w:val="00542880"/>
    <w:rPr>
      <w:rFonts w:ascii="Arial" w:eastAsiaTheme="majorEastAsia" w:hAnsi="Arial" w:cstheme="majorBidi"/>
      <w:b/>
      <w:bCs/>
      <w:caps/>
      <w:color w:val="C00000"/>
      <w:spacing w:val="5"/>
      <w:sz w:val="32"/>
      <w:szCs w:val="26"/>
      <w:lang w:val="en-US"/>
    </w:rPr>
  </w:style>
  <w:style w:type="paragraph" w:customStyle="1" w:styleId="Concordsous-titre">
    <w:name w:val="Concord sous-titre"/>
    <w:basedOn w:val="Normal"/>
    <w:qFormat/>
    <w:rsid w:val="00DA01F6"/>
    <w:pPr>
      <w:ind w:left="-567" w:right="-1039"/>
      <w:jc w:val="left"/>
    </w:pPr>
    <w:rPr>
      <w:rFonts w:ascii="Arial" w:hAnsi="Arial" w:cs="Arial"/>
      <w:b/>
      <w:color w:val="E36C0A" w:themeColor="accent6" w:themeShade="BF"/>
      <w:sz w:val="26"/>
      <w:szCs w:val="26"/>
      <w:lang w:val="en-GB"/>
    </w:rPr>
  </w:style>
  <w:style w:type="character" w:styleId="Lienhypertexte">
    <w:name w:val="Hyperlink"/>
    <w:basedOn w:val="Policepardfaut"/>
    <w:uiPriority w:val="99"/>
    <w:unhideWhenUsed/>
    <w:rsid w:val="00CC2584"/>
    <w:rPr>
      <w:color w:val="0000FF" w:themeColor="hyperlink"/>
      <w:u w:val="single"/>
    </w:rPr>
  </w:style>
  <w:style w:type="paragraph" w:styleId="Notedebasdepage">
    <w:name w:val="footnote text"/>
    <w:basedOn w:val="Normal"/>
    <w:link w:val="NotedebasdepageCar"/>
    <w:uiPriority w:val="99"/>
    <w:semiHidden/>
    <w:unhideWhenUsed/>
    <w:rsid w:val="00CC2584"/>
    <w:pPr>
      <w:spacing w:after="0" w:line="240" w:lineRule="auto"/>
      <w:jc w:val="left"/>
    </w:pPr>
    <w:rPr>
      <w:rFonts w:eastAsia="PMingLiU"/>
      <w:lang w:val="nl-BE"/>
    </w:rPr>
  </w:style>
  <w:style w:type="character" w:customStyle="1" w:styleId="NotedebasdepageCar">
    <w:name w:val="Note de bas de page Car"/>
    <w:basedOn w:val="Policepardfaut"/>
    <w:link w:val="Notedebasdepage"/>
    <w:uiPriority w:val="99"/>
    <w:semiHidden/>
    <w:rsid w:val="00CC2584"/>
    <w:rPr>
      <w:rFonts w:eastAsia="PMingLiU"/>
      <w:sz w:val="20"/>
      <w:szCs w:val="20"/>
      <w:lang w:val="nl-BE"/>
    </w:rPr>
  </w:style>
  <w:style w:type="character" w:styleId="Appelnotedebasdep">
    <w:name w:val="footnote reference"/>
    <w:basedOn w:val="Policepardfaut"/>
    <w:uiPriority w:val="99"/>
    <w:semiHidden/>
    <w:unhideWhenUsed/>
    <w:rsid w:val="00CC2584"/>
    <w:rPr>
      <w:vertAlign w:val="superscript"/>
    </w:rPr>
  </w:style>
  <w:style w:type="paragraph" w:styleId="Titre">
    <w:name w:val="Title"/>
    <w:basedOn w:val="Normal"/>
    <w:next w:val="Normal"/>
    <w:link w:val="TitreCar"/>
    <w:uiPriority w:val="10"/>
    <w:qFormat/>
    <w:rsid w:val="00CC2584"/>
    <w:pPr>
      <w:spacing w:after="0" w:line="240" w:lineRule="auto"/>
      <w:contextualSpacing/>
      <w:jc w:val="left"/>
    </w:pPr>
    <w:rPr>
      <w:rFonts w:asciiTheme="majorHAnsi" w:eastAsiaTheme="majorEastAsia" w:hAnsiTheme="majorHAnsi" w:cstheme="majorBidi"/>
      <w:spacing w:val="-10"/>
      <w:kern w:val="28"/>
      <w:sz w:val="56"/>
      <w:szCs w:val="56"/>
      <w:lang w:val="nl-BE"/>
    </w:rPr>
  </w:style>
  <w:style w:type="character" w:customStyle="1" w:styleId="TitreCar">
    <w:name w:val="Titre Car"/>
    <w:basedOn w:val="Policepardfaut"/>
    <w:link w:val="Titre"/>
    <w:uiPriority w:val="10"/>
    <w:rsid w:val="00CC2584"/>
    <w:rPr>
      <w:rFonts w:asciiTheme="majorHAnsi" w:eastAsiaTheme="majorEastAsia" w:hAnsiTheme="majorHAnsi" w:cstheme="majorBidi"/>
      <w:spacing w:val="-10"/>
      <w:kern w:val="28"/>
      <w:sz w:val="56"/>
      <w:szCs w:val="56"/>
      <w:lang w:val="nl-BE"/>
    </w:rPr>
  </w:style>
  <w:style w:type="paragraph" w:styleId="Normalweb">
    <w:name w:val="Normal (Web)"/>
    <w:basedOn w:val="Normal"/>
    <w:uiPriority w:val="99"/>
    <w:semiHidden/>
    <w:unhideWhenUsed/>
    <w:rsid w:val="00CC2584"/>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1177">
      <w:bodyDiv w:val="1"/>
      <w:marLeft w:val="0"/>
      <w:marRight w:val="0"/>
      <w:marTop w:val="0"/>
      <w:marBottom w:val="0"/>
      <w:divBdr>
        <w:top w:val="none" w:sz="0" w:space="0" w:color="auto"/>
        <w:left w:val="none" w:sz="0" w:space="0" w:color="auto"/>
        <w:bottom w:val="none" w:sz="0" w:space="0" w:color="auto"/>
        <w:right w:val="none" w:sz="0" w:space="0" w:color="auto"/>
      </w:divBdr>
    </w:div>
    <w:div w:id="232082145">
      <w:bodyDiv w:val="1"/>
      <w:marLeft w:val="0"/>
      <w:marRight w:val="0"/>
      <w:marTop w:val="0"/>
      <w:marBottom w:val="0"/>
      <w:divBdr>
        <w:top w:val="none" w:sz="0" w:space="0" w:color="auto"/>
        <w:left w:val="none" w:sz="0" w:space="0" w:color="auto"/>
        <w:bottom w:val="none" w:sz="0" w:space="0" w:color="auto"/>
        <w:right w:val="none" w:sz="0" w:space="0" w:color="auto"/>
      </w:divBdr>
      <w:divsChild>
        <w:div w:id="1070351855">
          <w:marLeft w:val="1166"/>
          <w:marRight w:val="0"/>
          <w:marTop w:val="96"/>
          <w:marBottom w:val="0"/>
          <w:divBdr>
            <w:top w:val="none" w:sz="0" w:space="0" w:color="auto"/>
            <w:left w:val="none" w:sz="0" w:space="0" w:color="auto"/>
            <w:bottom w:val="none" w:sz="0" w:space="0" w:color="auto"/>
            <w:right w:val="none" w:sz="0" w:space="0" w:color="auto"/>
          </w:divBdr>
        </w:div>
      </w:divsChild>
    </w:div>
    <w:div w:id="283847691">
      <w:bodyDiv w:val="1"/>
      <w:marLeft w:val="0"/>
      <w:marRight w:val="0"/>
      <w:marTop w:val="0"/>
      <w:marBottom w:val="0"/>
      <w:divBdr>
        <w:top w:val="none" w:sz="0" w:space="0" w:color="auto"/>
        <w:left w:val="none" w:sz="0" w:space="0" w:color="auto"/>
        <w:bottom w:val="none" w:sz="0" w:space="0" w:color="auto"/>
        <w:right w:val="none" w:sz="0" w:space="0" w:color="auto"/>
      </w:divBdr>
    </w:div>
    <w:div w:id="632709795">
      <w:bodyDiv w:val="1"/>
      <w:marLeft w:val="0"/>
      <w:marRight w:val="0"/>
      <w:marTop w:val="0"/>
      <w:marBottom w:val="0"/>
      <w:divBdr>
        <w:top w:val="none" w:sz="0" w:space="0" w:color="auto"/>
        <w:left w:val="none" w:sz="0" w:space="0" w:color="auto"/>
        <w:bottom w:val="none" w:sz="0" w:space="0" w:color="auto"/>
        <w:right w:val="none" w:sz="0" w:space="0" w:color="auto"/>
      </w:divBdr>
      <w:divsChild>
        <w:div w:id="1682122471">
          <w:marLeft w:val="547"/>
          <w:marRight w:val="0"/>
          <w:marTop w:val="144"/>
          <w:marBottom w:val="0"/>
          <w:divBdr>
            <w:top w:val="none" w:sz="0" w:space="0" w:color="auto"/>
            <w:left w:val="none" w:sz="0" w:space="0" w:color="auto"/>
            <w:bottom w:val="none" w:sz="0" w:space="0" w:color="auto"/>
            <w:right w:val="none" w:sz="0" w:space="0" w:color="auto"/>
          </w:divBdr>
        </w:div>
        <w:div w:id="315694665">
          <w:marLeft w:val="547"/>
          <w:marRight w:val="0"/>
          <w:marTop w:val="144"/>
          <w:marBottom w:val="0"/>
          <w:divBdr>
            <w:top w:val="none" w:sz="0" w:space="0" w:color="auto"/>
            <w:left w:val="none" w:sz="0" w:space="0" w:color="auto"/>
            <w:bottom w:val="none" w:sz="0" w:space="0" w:color="auto"/>
            <w:right w:val="none" w:sz="0" w:space="0" w:color="auto"/>
          </w:divBdr>
        </w:div>
        <w:div w:id="1358627678">
          <w:marLeft w:val="547"/>
          <w:marRight w:val="0"/>
          <w:marTop w:val="144"/>
          <w:marBottom w:val="0"/>
          <w:divBdr>
            <w:top w:val="none" w:sz="0" w:space="0" w:color="auto"/>
            <w:left w:val="none" w:sz="0" w:space="0" w:color="auto"/>
            <w:bottom w:val="none" w:sz="0" w:space="0" w:color="auto"/>
            <w:right w:val="none" w:sz="0" w:space="0" w:color="auto"/>
          </w:divBdr>
        </w:div>
        <w:div w:id="559708459">
          <w:marLeft w:val="547"/>
          <w:marRight w:val="0"/>
          <w:marTop w:val="144"/>
          <w:marBottom w:val="0"/>
          <w:divBdr>
            <w:top w:val="none" w:sz="0" w:space="0" w:color="auto"/>
            <w:left w:val="none" w:sz="0" w:space="0" w:color="auto"/>
            <w:bottom w:val="none" w:sz="0" w:space="0" w:color="auto"/>
            <w:right w:val="none" w:sz="0" w:space="0" w:color="auto"/>
          </w:divBdr>
        </w:div>
        <w:div w:id="404492548">
          <w:marLeft w:val="547"/>
          <w:marRight w:val="0"/>
          <w:marTop w:val="144"/>
          <w:marBottom w:val="0"/>
          <w:divBdr>
            <w:top w:val="none" w:sz="0" w:space="0" w:color="auto"/>
            <w:left w:val="none" w:sz="0" w:space="0" w:color="auto"/>
            <w:bottom w:val="none" w:sz="0" w:space="0" w:color="auto"/>
            <w:right w:val="none" w:sz="0" w:space="0" w:color="auto"/>
          </w:divBdr>
        </w:div>
        <w:div w:id="95945011">
          <w:marLeft w:val="547"/>
          <w:marRight w:val="0"/>
          <w:marTop w:val="144"/>
          <w:marBottom w:val="0"/>
          <w:divBdr>
            <w:top w:val="none" w:sz="0" w:space="0" w:color="auto"/>
            <w:left w:val="none" w:sz="0" w:space="0" w:color="auto"/>
            <w:bottom w:val="none" w:sz="0" w:space="0" w:color="auto"/>
            <w:right w:val="none" w:sz="0" w:space="0" w:color="auto"/>
          </w:divBdr>
        </w:div>
        <w:div w:id="2098869069">
          <w:marLeft w:val="547"/>
          <w:marRight w:val="0"/>
          <w:marTop w:val="144"/>
          <w:marBottom w:val="0"/>
          <w:divBdr>
            <w:top w:val="none" w:sz="0" w:space="0" w:color="auto"/>
            <w:left w:val="none" w:sz="0" w:space="0" w:color="auto"/>
            <w:bottom w:val="none" w:sz="0" w:space="0" w:color="auto"/>
            <w:right w:val="none" w:sz="0" w:space="0" w:color="auto"/>
          </w:divBdr>
        </w:div>
        <w:div w:id="1877354741">
          <w:marLeft w:val="547"/>
          <w:marRight w:val="0"/>
          <w:marTop w:val="144"/>
          <w:marBottom w:val="0"/>
          <w:divBdr>
            <w:top w:val="none" w:sz="0" w:space="0" w:color="auto"/>
            <w:left w:val="none" w:sz="0" w:space="0" w:color="auto"/>
            <w:bottom w:val="none" w:sz="0" w:space="0" w:color="auto"/>
            <w:right w:val="none" w:sz="0" w:space="0" w:color="auto"/>
          </w:divBdr>
        </w:div>
        <w:div w:id="332420059">
          <w:marLeft w:val="547"/>
          <w:marRight w:val="0"/>
          <w:marTop w:val="144"/>
          <w:marBottom w:val="0"/>
          <w:divBdr>
            <w:top w:val="none" w:sz="0" w:space="0" w:color="auto"/>
            <w:left w:val="none" w:sz="0" w:space="0" w:color="auto"/>
            <w:bottom w:val="none" w:sz="0" w:space="0" w:color="auto"/>
            <w:right w:val="none" w:sz="0" w:space="0" w:color="auto"/>
          </w:divBdr>
        </w:div>
      </w:divsChild>
    </w:div>
    <w:div w:id="887257318">
      <w:bodyDiv w:val="1"/>
      <w:marLeft w:val="0"/>
      <w:marRight w:val="0"/>
      <w:marTop w:val="0"/>
      <w:marBottom w:val="0"/>
      <w:divBdr>
        <w:top w:val="none" w:sz="0" w:space="0" w:color="auto"/>
        <w:left w:val="none" w:sz="0" w:space="0" w:color="auto"/>
        <w:bottom w:val="none" w:sz="0" w:space="0" w:color="auto"/>
        <w:right w:val="none" w:sz="0" w:space="0" w:color="auto"/>
      </w:divBdr>
      <w:divsChild>
        <w:div w:id="33383968">
          <w:marLeft w:val="547"/>
          <w:marRight w:val="0"/>
          <w:marTop w:val="130"/>
          <w:marBottom w:val="0"/>
          <w:divBdr>
            <w:top w:val="none" w:sz="0" w:space="0" w:color="auto"/>
            <w:left w:val="none" w:sz="0" w:space="0" w:color="auto"/>
            <w:bottom w:val="none" w:sz="0" w:space="0" w:color="auto"/>
            <w:right w:val="none" w:sz="0" w:space="0" w:color="auto"/>
          </w:divBdr>
        </w:div>
        <w:div w:id="2143189043">
          <w:marLeft w:val="1166"/>
          <w:marRight w:val="0"/>
          <w:marTop w:val="115"/>
          <w:marBottom w:val="0"/>
          <w:divBdr>
            <w:top w:val="none" w:sz="0" w:space="0" w:color="auto"/>
            <w:left w:val="none" w:sz="0" w:space="0" w:color="auto"/>
            <w:bottom w:val="none" w:sz="0" w:space="0" w:color="auto"/>
            <w:right w:val="none" w:sz="0" w:space="0" w:color="auto"/>
          </w:divBdr>
        </w:div>
        <w:div w:id="1783064883">
          <w:marLeft w:val="1166"/>
          <w:marRight w:val="0"/>
          <w:marTop w:val="115"/>
          <w:marBottom w:val="0"/>
          <w:divBdr>
            <w:top w:val="none" w:sz="0" w:space="0" w:color="auto"/>
            <w:left w:val="none" w:sz="0" w:space="0" w:color="auto"/>
            <w:bottom w:val="none" w:sz="0" w:space="0" w:color="auto"/>
            <w:right w:val="none" w:sz="0" w:space="0" w:color="auto"/>
          </w:divBdr>
        </w:div>
        <w:div w:id="2005737569">
          <w:marLeft w:val="1166"/>
          <w:marRight w:val="0"/>
          <w:marTop w:val="115"/>
          <w:marBottom w:val="0"/>
          <w:divBdr>
            <w:top w:val="none" w:sz="0" w:space="0" w:color="auto"/>
            <w:left w:val="none" w:sz="0" w:space="0" w:color="auto"/>
            <w:bottom w:val="none" w:sz="0" w:space="0" w:color="auto"/>
            <w:right w:val="none" w:sz="0" w:space="0" w:color="auto"/>
          </w:divBdr>
        </w:div>
        <w:div w:id="462574657">
          <w:marLeft w:val="1166"/>
          <w:marRight w:val="0"/>
          <w:marTop w:val="115"/>
          <w:marBottom w:val="0"/>
          <w:divBdr>
            <w:top w:val="none" w:sz="0" w:space="0" w:color="auto"/>
            <w:left w:val="none" w:sz="0" w:space="0" w:color="auto"/>
            <w:bottom w:val="none" w:sz="0" w:space="0" w:color="auto"/>
            <w:right w:val="none" w:sz="0" w:space="0" w:color="auto"/>
          </w:divBdr>
        </w:div>
        <w:div w:id="1967924023">
          <w:marLeft w:val="547"/>
          <w:marRight w:val="0"/>
          <w:marTop w:val="130"/>
          <w:marBottom w:val="0"/>
          <w:divBdr>
            <w:top w:val="none" w:sz="0" w:space="0" w:color="auto"/>
            <w:left w:val="none" w:sz="0" w:space="0" w:color="auto"/>
            <w:bottom w:val="none" w:sz="0" w:space="0" w:color="auto"/>
            <w:right w:val="none" w:sz="0" w:space="0" w:color="auto"/>
          </w:divBdr>
        </w:div>
        <w:div w:id="60375123">
          <w:marLeft w:val="1166"/>
          <w:marRight w:val="0"/>
          <w:marTop w:val="115"/>
          <w:marBottom w:val="0"/>
          <w:divBdr>
            <w:top w:val="none" w:sz="0" w:space="0" w:color="auto"/>
            <w:left w:val="none" w:sz="0" w:space="0" w:color="auto"/>
            <w:bottom w:val="none" w:sz="0" w:space="0" w:color="auto"/>
            <w:right w:val="none" w:sz="0" w:space="0" w:color="auto"/>
          </w:divBdr>
        </w:div>
        <w:div w:id="147984096">
          <w:marLeft w:val="1166"/>
          <w:marRight w:val="0"/>
          <w:marTop w:val="115"/>
          <w:marBottom w:val="0"/>
          <w:divBdr>
            <w:top w:val="none" w:sz="0" w:space="0" w:color="auto"/>
            <w:left w:val="none" w:sz="0" w:space="0" w:color="auto"/>
            <w:bottom w:val="none" w:sz="0" w:space="0" w:color="auto"/>
            <w:right w:val="none" w:sz="0" w:space="0" w:color="auto"/>
          </w:divBdr>
        </w:div>
        <w:div w:id="755589198">
          <w:marLeft w:val="1166"/>
          <w:marRight w:val="0"/>
          <w:marTop w:val="115"/>
          <w:marBottom w:val="0"/>
          <w:divBdr>
            <w:top w:val="none" w:sz="0" w:space="0" w:color="auto"/>
            <w:left w:val="none" w:sz="0" w:space="0" w:color="auto"/>
            <w:bottom w:val="none" w:sz="0" w:space="0" w:color="auto"/>
            <w:right w:val="none" w:sz="0" w:space="0" w:color="auto"/>
          </w:divBdr>
        </w:div>
      </w:divsChild>
    </w:div>
    <w:div w:id="956713753">
      <w:bodyDiv w:val="1"/>
      <w:marLeft w:val="0"/>
      <w:marRight w:val="0"/>
      <w:marTop w:val="0"/>
      <w:marBottom w:val="0"/>
      <w:divBdr>
        <w:top w:val="none" w:sz="0" w:space="0" w:color="auto"/>
        <w:left w:val="none" w:sz="0" w:space="0" w:color="auto"/>
        <w:bottom w:val="none" w:sz="0" w:space="0" w:color="auto"/>
        <w:right w:val="none" w:sz="0" w:space="0" w:color="auto"/>
      </w:divBdr>
      <w:divsChild>
        <w:div w:id="289095951">
          <w:marLeft w:val="547"/>
          <w:marRight w:val="0"/>
          <w:marTop w:val="96"/>
          <w:marBottom w:val="0"/>
          <w:divBdr>
            <w:top w:val="none" w:sz="0" w:space="0" w:color="auto"/>
            <w:left w:val="none" w:sz="0" w:space="0" w:color="auto"/>
            <w:bottom w:val="none" w:sz="0" w:space="0" w:color="auto"/>
            <w:right w:val="none" w:sz="0" w:space="0" w:color="auto"/>
          </w:divBdr>
        </w:div>
        <w:div w:id="24253086">
          <w:marLeft w:val="547"/>
          <w:marRight w:val="0"/>
          <w:marTop w:val="96"/>
          <w:marBottom w:val="0"/>
          <w:divBdr>
            <w:top w:val="none" w:sz="0" w:space="0" w:color="auto"/>
            <w:left w:val="none" w:sz="0" w:space="0" w:color="auto"/>
            <w:bottom w:val="none" w:sz="0" w:space="0" w:color="auto"/>
            <w:right w:val="none" w:sz="0" w:space="0" w:color="auto"/>
          </w:divBdr>
        </w:div>
      </w:divsChild>
    </w:div>
    <w:div w:id="999774035">
      <w:bodyDiv w:val="1"/>
      <w:marLeft w:val="0"/>
      <w:marRight w:val="0"/>
      <w:marTop w:val="0"/>
      <w:marBottom w:val="0"/>
      <w:divBdr>
        <w:top w:val="none" w:sz="0" w:space="0" w:color="auto"/>
        <w:left w:val="none" w:sz="0" w:space="0" w:color="auto"/>
        <w:bottom w:val="none" w:sz="0" w:space="0" w:color="auto"/>
        <w:right w:val="none" w:sz="0" w:space="0" w:color="auto"/>
      </w:divBdr>
    </w:div>
    <w:div w:id="1202396479">
      <w:bodyDiv w:val="1"/>
      <w:marLeft w:val="0"/>
      <w:marRight w:val="0"/>
      <w:marTop w:val="0"/>
      <w:marBottom w:val="0"/>
      <w:divBdr>
        <w:top w:val="none" w:sz="0" w:space="0" w:color="auto"/>
        <w:left w:val="none" w:sz="0" w:space="0" w:color="auto"/>
        <w:bottom w:val="none" w:sz="0" w:space="0" w:color="auto"/>
        <w:right w:val="none" w:sz="0" w:space="0" w:color="auto"/>
      </w:divBdr>
      <w:divsChild>
        <w:div w:id="498469524">
          <w:marLeft w:val="547"/>
          <w:marRight w:val="0"/>
          <w:marTop w:val="96"/>
          <w:marBottom w:val="0"/>
          <w:divBdr>
            <w:top w:val="none" w:sz="0" w:space="0" w:color="auto"/>
            <w:left w:val="none" w:sz="0" w:space="0" w:color="auto"/>
            <w:bottom w:val="none" w:sz="0" w:space="0" w:color="auto"/>
            <w:right w:val="none" w:sz="0" w:space="0" w:color="auto"/>
          </w:divBdr>
        </w:div>
        <w:div w:id="1158379780">
          <w:marLeft w:val="547"/>
          <w:marRight w:val="0"/>
          <w:marTop w:val="96"/>
          <w:marBottom w:val="0"/>
          <w:divBdr>
            <w:top w:val="none" w:sz="0" w:space="0" w:color="auto"/>
            <w:left w:val="none" w:sz="0" w:space="0" w:color="auto"/>
            <w:bottom w:val="none" w:sz="0" w:space="0" w:color="auto"/>
            <w:right w:val="none" w:sz="0" w:space="0" w:color="auto"/>
          </w:divBdr>
        </w:div>
      </w:divsChild>
    </w:div>
    <w:div w:id="1546792895">
      <w:bodyDiv w:val="1"/>
      <w:marLeft w:val="0"/>
      <w:marRight w:val="0"/>
      <w:marTop w:val="0"/>
      <w:marBottom w:val="0"/>
      <w:divBdr>
        <w:top w:val="none" w:sz="0" w:space="0" w:color="auto"/>
        <w:left w:val="none" w:sz="0" w:space="0" w:color="auto"/>
        <w:bottom w:val="none" w:sz="0" w:space="0" w:color="auto"/>
        <w:right w:val="none" w:sz="0" w:space="0" w:color="auto"/>
      </w:divBdr>
      <w:divsChild>
        <w:div w:id="1641763756">
          <w:marLeft w:val="547"/>
          <w:marRight w:val="0"/>
          <w:marTop w:val="154"/>
          <w:marBottom w:val="0"/>
          <w:divBdr>
            <w:top w:val="none" w:sz="0" w:space="0" w:color="auto"/>
            <w:left w:val="none" w:sz="0" w:space="0" w:color="auto"/>
            <w:bottom w:val="none" w:sz="0" w:space="0" w:color="auto"/>
            <w:right w:val="none" w:sz="0" w:space="0" w:color="auto"/>
          </w:divBdr>
        </w:div>
        <w:div w:id="1669597839">
          <w:marLeft w:val="1166"/>
          <w:marRight w:val="0"/>
          <w:marTop w:val="134"/>
          <w:marBottom w:val="0"/>
          <w:divBdr>
            <w:top w:val="none" w:sz="0" w:space="0" w:color="auto"/>
            <w:left w:val="none" w:sz="0" w:space="0" w:color="auto"/>
            <w:bottom w:val="none" w:sz="0" w:space="0" w:color="auto"/>
            <w:right w:val="none" w:sz="0" w:space="0" w:color="auto"/>
          </w:divBdr>
        </w:div>
        <w:div w:id="2023823627">
          <w:marLeft w:val="1166"/>
          <w:marRight w:val="0"/>
          <w:marTop w:val="134"/>
          <w:marBottom w:val="0"/>
          <w:divBdr>
            <w:top w:val="none" w:sz="0" w:space="0" w:color="auto"/>
            <w:left w:val="none" w:sz="0" w:space="0" w:color="auto"/>
            <w:bottom w:val="none" w:sz="0" w:space="0" w:color="auto"/>
            <w:right w:val="none" w:sz="0" w:space="0" w:color="auto"/>
          </w:divBdr>
        </w:div>
        <w:div w:id="1146436568">
          <w:marLeft w:val="1166"/>
          <w:marRight w:val="0"/>
          <w:marTop w:val="134"/>
          <w:marBottom w:val="0"/>
          <w:divBdr>
            <w:top w:val="none" w:sz="0" w:space="0" w:color="auto"/>
            <w:left w:val="none" w:sz="0" w:space="0" w:color="auto"/>
            <w:bottom w:val="none" w:sz="0" w:space="0" w:color="auto"/>
            <w:right w:val="none" w:sz="0" w:space="0" w:color="auto"/>
          </w:divBdr>
        </w:div>
      </w:divsChild>
    </w:div>
    <w:div w:id="1557859624">
      <w:bodyDiv w:val="1"/>
      <w:marLeft w:val="0"/>
      <w:marRight w:val="0"/>
      <w:marTop w:val="0"/>
      <w:marBottom w:val="0"/>
      <w:divBdr>
        <w:top w:val="none" w:sz="0" w:space="0" w:color="auto"/>
        <w:left w:val="none" w:sz="0" w:space="0" w:color="auto"/>
        <w:bottom w:val="none" w:sz="0" w:space="0" w:color="auto"/>
        <w:right w:val="none" w:sz="0" w:space="0" w:color="auto"/>
      </w:divBdr>
    </w:div>
    <w:div w:id="1778410114">
      <w:bodyDiv w:val="1"/>
      <w:marLeft w:val="0"/>
      <w:marRight w:val="0"/>
      <w:marTop w:val="0"/>
      <w:marBottom w:val="0"/>
      <w:divBdr>
        <w:top w:val="none" w:sz="0" w:space="0" w:color="auto"/>
        <w:left w:val="none" w:sz="0" w:space="0" w:color="auto"/>
        <w:bottom w:val="none" w:sz="0" w:space="0" w:color="auto"/>
        <w:right w:val="none" w:sz="0" w:space="0" w:color="auto"/>
      </w:divBdr>
      <w:divsChild>
        <w:div w:id="937954251">
          <w:marLeft w:val="1166"/>
          <w:marRight w:val="0"/>
          <w:marTop w:val="96"/>
          <w:marBottom w:val="0"/>
          <w:divBdr>
            <w:top w:val="none" w:sz="0" w:space="0" w:color="auto"/>
            <w:left w:val="none" w:sz="0" w:space="0" w:color="auto"/>
            <w:bottom w:val="none" w:sz="0" w:space="0" w:color="auto"/>
            <w:right w:val="none" w:sz="0" w:space="0" w:color="auto"/>
          </w:divBdr>
        </w:div>
      </w:divsChild>
    </w:div>
    <w:div w:id="1929458293">
      <w:bodyDiv w:val="1"/>
      <w:marLeft w:val="0"/>
      <w:marRight w:val="0"/>
      <w:marTop w:val="0"/>
      <w:marBottom w:val="0"/>
      <w:divBdr>
        <w:top w:val="none" w:sz="0" w:space="0" w:color="auto"/>
        <w:left w:val="none" w:sz="0" w:space="0" w:color="auto"/>
        <w:bottom w:val="none" w:sz="0" w:space="0" w:color="auto"/>
        <w:right w:val="none" w:sz="0" w:space="0" w:color="auto"/>
      </w:divBdr>
    </w:div>
    <w:div w:id="20804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idhr.eu/files/dmfile/SWD_2014_152_F1_STAFF_WORKING_PAPER_EN_V5_P1_768467.pdf" TargetMode="External"/><Relationship Id="rId8" Type="http://schemas.openxmlformats.org/officeDocument/2006/relationships/hyperlink" Target="https://ec.europa.eu/europeaid/joint-staff-working-document-gender-equality-and-womens-empowerment-transforming-lives-girls-and_en"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uedocs/cms_Data/docs/pressdata/EN/foraff/130243.pdf" TargetMode="External"/><Relationship Id="rId2" Type="http://schemas.openxmlformats.org/officeDocument/2006/relationships/hyperlink" Target="http://www.consilium.europa.eu/uedocs/cms_Data/docs/pressdata/EN/foraff/142682.pdf" TargetMode="External"/><Relationship Id="rId3" Type="http://schemas.openxmlformats.org/officeDocument/2006/relationships/hyperlink" Target="http://www.oecd.org/dac/gender-development/dac-gender-equality-marker.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2875</Words>
  <Characters>15818</Characters>
  <Application>Microsoft Macintosh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dc:creator>
  <cp:lastModifiedBy>Utilisateur de Microsoft Office</cp:lastModifiedBy>
  <cp:revision>12</cp:revision>
  <dcterms:created xsi:type="dcterms:W3CDTF">2015-12-18T08:11:00Z</dcterms:created>
  <dcterms:modified xsi:type="dcterms:W3CDTF">2016-03-20T09:59:00Z</dcterms:modified>
</cp:coreProperties>
</file>